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EC4B" w14:textId="77777777" w:rsidR="00D15B13" w:rsidRPr="00386136" w:rsidRDefault="00D15B13" w:rsidP="009E3BE5">
      <w:pPr>
        <w:tabs>
          <w:tab w:val="left" w:pos="1418"/>
        </w:tabs>
        <w:rPr>
          <w:b/>
          <w:sz w:val="22"/>
          <w:szCs w:val="22"/>
        </w:rPr>
      </w:pPr>
      <w:bookmarkStart w:id="0" w:name="_GoBack"/>
      <w:bookmarkEnd w:id="0"/>
      <w:r w:rsidRPr="00386136">
        <w:rPr>
          <w:b/>
          <w:sz w:val="22"/>
          <w:szCs w:val="22"/>
        </w:rPr>
        <w:t>Alexandre DUMERY</w:t>
      </w:r>
    </w:p>
    <w:p w14:paraId="7B5604DD" w14:textId="350A1072" w:rsidR="00D15B13" w:rsidRPr="00386136" w:rsidRDefault="00E32903">
      <w:pPr>
        <w:rPr>
          <w:sz w:val="22"/>
          <w:szCs w:val="22"/>
        </w:rPr>
      </w:pPr>
      <w:r w:rsidRPr="00386136">
        <w:rPr>
          <w:sz w:val="22"/>
          <w:szCs w:val="22"/>
        </w:rPr>
        <w:t>6 rue de l’espérance</w:t>
      </w:r>
    </w:p>
    <w:p w14:paraId="36FA227E" w14:textId="5E25A2A1" w:rsidR="00E32903" w:rsidRPr="00386136" w:rsidRDefault="00E32903">
      <w:pPr>
        <w:rPr>
          <w:sz w:val="22"/>
          <w:szCs w:val="22"/>
        </w:rPr>
      </w:pPr>
      <w:r w:rsidRPr="00386136">
        <w:rPr>
          <w:sz w:val="22"/>
          <w:szCs w:val="22"/>
        </w:rPr>
        <w:t>14610 Cambes-en-Plaine</w:t>
      </w:r>
    </w:p>
    <w:p w14:paraId="2E058860" w14:textId="77777777" w:rsidR="00D15B13" w:rsidRPr="00386136" w:rsidRDefault="00D15B13">
      <w:pPr>
        <w:rPr>
          <w:sz w:val="22"/>
          <w:szCs w:val="22"/>
        </w:rPr>
      </w:pPr>
    </w:p>
    <w:p w14:paraId="254D888B" w14:textId="77777777" w:rsidR="00D15B13" w:rsidRPr="00386136" w:rsidRDefault="00D15B13" w:rsidP="00235CA8">
      <w:pPr>
        <w:rPr>
          <w:sz w:val="22"/>
          <w:szCs w:val="22"/>
        </w:rPr>
      </w:pPr>
      <w:r w:rsidRPr="00386136">
        <w:rPr>
          <w:sz w:val="22"/>
          <w:szCs w:val="22"/>
        </w:rPr>
        <w:t>Né le 28 décembre 1979</w:t>
      </w:r>
    </w:p>
    <w:p w14:paraId="2A7C02C8" w14:textId="77777777" w:rsidR="00235CA8" w:rsidRPr="00386136" w:rsidRDefault="00235CA8">
      <w:pPr>
        <w:rPr>
          <w:sz w:val="22"/>
          <w:szCs w:val="22"/>
        </w:rPr>
      </w:pPr>
      <w:r w:rsidRPr="00386136">
        <w:rPr>
          <w:sz w:val="22"/>
          <w:szCs w:val="22"/>
        </w:rPr>
        <w:t>Nationalité française</w:t>
      </w:r>
    </w:p>
    <w:p w14:paraId="728374AA" w14:textId="77777777" w:rsidR="00235CA8" w:rsidRPr="00386136" w:rsidRDefault="00235CA8">
      <w:pPr>
        <w:rPr>
          <w:sz w:val="22"/>
          <w:szCs w:val="22"/>
        </w:rPr>
      </w:pPr>
    </w:p>
    <w:p w14:paraId="381F9EEF" w14:textId="77777777" w:rsidR="00235CA8" w:rsidRPr="00386136" w:rsidRDefault="00235CA8">
      <w:pPr>
        <w:rPr>
          <w:sz w:val="22"/>
          <w:szCs w:val="22"/>
        </w:rPr>
      </w:pPr>
      <w:r w:rsidRPr="00386136">
        <w:rPr>
          <w:sz w:val="22"/>
          <w:szCs w:val="22"/>
        </w:rPr>
        <w:t>06.12.93.00.67</w:t>
      </w:r>
    </w:p>
    <w:p w14:paraId="3021165C" w14:textId="77777777" w:rsidR="00235CA8" w:rsidRPr="00386136" w:rsidRDefault="002D4970">
      <w:pPr>
        <w:rPr>
          <w:sz w:val="22"/>
          <w:szCs w:val="22"/>
        </w:rPr>
      </w:pPr>
      <w:hyperlink r:id="rId5" w:history="1">
        <w:r w:rsidR="00235CA8" w:rsidRPr="00386136">
          <w:rPr>
            <w:rStyle w:val="Lienhypertexte"/>
            <w:sz w:val="22"/>
            <w:szCs w:val="22"/>
          </w:rPr>
          <w:t>alexandre.dumery@hotmail.fr</w:t>
        </w:r>
      </w:hyperlink>
      <w:r w:rsidR="00235CA8" w:rsidRPr="00386136">
        <w:rPr>
          <w:sz w:val="22"/>
          <w:szCs w:val="22"/>
        </w:rPr>
        <w:t xml:space="preserve"> </w:t>
      </w:r>
    </w:p>
    <w:p w14:paraId="0063919B" w14:textId="77777777" w:rsidR="00235CA8" w:rsidRPr="00386136" w:rsidRDefault="00235CA8">
      <w:pPr>
        <w:rPr>
          <w:sz w:val="22"/>
          <w:szCs w:val="22"/>
        </w:rPr>
      </w:pPr>
    </w:p>
    <w:p w14:paraId="06D5940B" w14:textId="77777777" w:rsidR="00235CA8" w:rsidRPr="00386136" w:rsidRDefault="001F2006" w:rsidP="00235CA8">
      <w:pPr>
        <w:jc w:val="center"/>
        <w:rPr>
          <w:sz w:val="22"/>
          <w:szCs w:val="22"/>
        </w:rPr>
        <w:sectPr w:rsidR="00235CA8" w:rsidRPr="00386136" w:rsidSect="00235CA8"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386136">
        <w:rPr>
          <w:noProof/>
          <w:sz w:val="22"/>
          <w:szCs w:val="22"/>
        </w:rPr>
        <w:lastRenderedPageBreak/>
        <w:drawing>
          <wp:inline distT="0" distB="0" distL="0" distR="0" wp14:anchorId="20EA3B6D" wp14:editId="54F67680">
            <wp:extent cx="1168400" cy="1583055"/>
            <wp:effectExtent l="0" t="0" r="0" b="0"/>
            <wp:docPr id="1" name="Image 1" descr="photoA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Al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D2E55" w14:textId="77777777" w:rsidR="00235CA8" w:rsidRPr="00386136" w:rsidRDefault="00235CA8">
      <w:pPr>
        <w:rPr>
          <w:sz w:val="22"/>
          <w:szCs w:val="22"/>
        </w:rPr>
      </w:pPr>
    </w:p>
    <w:p w14:paraId="0B074DE9" w14:textId="77777777" w:rsidR="00235CA8" w:rsidRPr="00386136" w:rsidRDefault="00235CA8">
      <w:pPr>
        <w:rPr>
          <w:sz w:val="22"/>
          <w:szCs w:val="22"/>
        </w:rPr>
      </w:pPr>
    </w:p>
    <w:p w14:paraId="64DCE3B0" w14:textId="77777777" w:rsidR="00E32903" w:rsidRPr="00386136" w:rsidRDefault="00E32903">
      <w:pPr>
        <w:rPr>
          <w:sz w:val="22"/>
          <w:szCs w:val="22"/>
        </w:rPr>
      </w:pPr>
    </w:p>
    <w:p w14:paraId="3244A270" w14:textId="77777777" w:rsidR="00235CA8" w:rsidRPr="00386136" w:rsidRDefault="00235CA8">
      <w:pPr>
        <w:rPr>
          <w:sz w:val="22"/>
          <w:szCs w:val="22"/>
        </w:rPr>
      </w:pPr>
    </w:p>
    <w:p w14:paraId="0E185E69" w14:textId="77777777" w:rsidR="00235CA8" w:rsidRPr="00386136" w:rsidRDefault="00235CA8">
      <w:pPr>
        <w:rPr>
          <w:b/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b/>
          <w:sz w:val="22"/>
          <w:szCs w:val="22"/>
        </w:rPr>
        <w:t>Fonctions actuelles</w:t>
      </w:r>
    </w:p>
    <w:p w14:paraId="57EA8CB4" w14:textId="77777777" w:rsidR="00235CA8" w:rsidRPr="00386136" w:rsidRDefault="00235CA8">
      <w:pPr>
        <w:rPr>
          <w:b/>
          <w:sz w:val="22"/>
          <w:szCs w:val="22"/>
        </w:rPr>
      </w:pPr>
    </w:p>
    <w:p w14:paraId="5C24B5D2" w14:textId="45094486" w:rsidR="00235CA8" w:rsidRDefault="00235CA8" w:rsidP="00235CA8">
      <w:pPr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Depuis 2009</w:t>
      </w:r>
      <w:r w:rsidRPr="00386136">
        <w:rPr>
          <w:i/>
          <w:sz w:val="22"/>
          <w:szCs w:val="22"/>
        </w:rPr>
        <w:tab/>
      </w:r>
      <w:r w:rsidRPr="00386136">
        <w:rPr>
          <w:b/>
          <w:sz w:val="22"/>
          <w:szCs w:val="22"/>
        </w:rPr>
        <w:t>Maître de conférences en droit privé à l’Institut Catholique de Lille</w:t>
      </w:r>
      <w:r w:rsidR="00A930A7">
        <w:rPr>
          <w:sz w:val="22"/>
          <w:szCs w:val="22"/>
        </w:rPr>
        <w:t xml:space="preserve"> </w:t>
      </w:r>
      <w:r w:rsidR="00A930A7">
        <w:rPr>
          <w:sz w:val="22"/>
          <w:szCs w:val="22"/>
        </w:rPr>
        <w:tab/>
      </w:r>
      <w:r w:rsidR="00A930A7">
        <w:rPr>
          <w:sz w:val="22"/>
          <w:szCs w:val="22"/>
        </w:rPr>
        <w:tab/>
      </w:r>
      <w:r w:rsidR="00A930A7">
        <w:rPr>
          <w:sz w:val="22"/>
          <w:szCs w:val="22"/>
        </w:rPr>
        <w:tab/>
        <w:t xml:space="preserve">Faculté </w:t>
      </w:r>
      <w:r w:rsidRPr="00386136">
        <w:rPr>
          <w:sz w:val="22"/>
          <w:szCs w:val="22"/>
        </w:rPr>
        <w:t>de Droit</w:t>
      </w:r>
      <w:r w:rsidR="006073FB">
        <w:rPr>
          <w:sz w:val="22"/>
          <w:szCs w:val="22"/>
        </w:rPr>
        <w:t xml:space="preserve"> campus </w:t>
      </w:r>
      <w:r w:rsidR="00386136">
        <w:rPr>
          <w:sz w:val="22"/>
          <w:szCs w:val="22"/>
        </w:rPr>
        <w:t>Paris (Issy-les-Moulineaux)</w:t>
      </w:r>
      <w:r w:rsidRPr="00386136">
        <w:rPr>
          <w:sz w:val="22"/>
          <w:szCs w:val="22"/>
        </w:rPr>
        <w:t xml:space="preserve">. Enseignements dispensés en : </w:t>
      </w:r>
    </w:p>
    <w:p w14:paraId="1A0277FC" w14:textId="73FD92B3" w:rsidR="00571308" w:rsidRPr="00386136" w:rsidRDefault="00571308" w:rsidP="00235C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procédures collectives et sûretés (M2) ; </w:t>
      </w:r>
    </w:p>
    <w:p w14:paraId="4068760E" w14:textId="50E016E7" w:rsidR="00D45594" w:rsidRPr="00386136" w:rsidRDefault="00D45594" w:rsidP="00235CA8">
      <w:pPr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 xml:space="preserve">- droit des procédures collectives (M1) ; </w:t>
      </w:r>
    </w:p>
    <w:p w14:paraId="076030BB" w14:textId="77777777" w:rsidR="00C13839" w:rsidRPr="00386136" w:rsidRDefault="00C13839" w:rsidP="00235CA8">
      <w:pPr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 xml:space="preserve">- droit des sûretés (L3) ; </w:t>
      </w:r>
    </w:p>
    <w:p w14:paraId="103A1794" w14:textId="247966AE" w:rsidR="00235CA8" w:rsidRPr="00386136" w:rsidRDefault="00235CA8" w:rsidP="00235CA8">
      <w:pPr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>- droit de la responsabilité civile (L2)</w:t>
      </w:r>
      <w:r w:rsidR="00414980">
        <w:rPr>
          <w:sz w:val="22"/>
          <w:szCs w:val="22"/>
        </w:rPr>
        <w:t xml:space="preserve">. </w:t>
      </w:r>
    </w:p>
    <w:p w14:paraId="56BD1BC2" w14:textId="5A3E5318" w:rsidR="008933F3" w:rsidRDefault="00571308" w:rsidP="00235C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DEC6B5" w14:textId="5EBFEA0E" w:rsidR="008933F3" w:rsidRDefault="008933F3" w:rsidP="00235C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Directeur du M1 Droit des affaires </w:t>
      </w:r>
      <w:r w:rsidR="009E0A22">
        <w:rPr>
          <w:sz w:val="22"/>
          <w:szCs w:val="22"/>
        </w:rPr>
        <w:t xml:space="preserve">et du M2 Droit </w:t>
      </w:r>
      <w:r w:rsidR="00571308">
        <w:rPr>
          <w:sz w:val="22"/>
          <w:szCs w:val="22"/>
        </w:rPr>
        <w:t xml:space="preserve">des affaires </w:t>
      </w:r>
      <w:r w:rsidR="009E0A22">
        <w:rPr>
          <w:sz w:val="22"/>
          <w:szCs w:val="22"/>
        </w:rPr>
        <w:t xml:space="preserve">et management des </w:t>
      </w:r>
      <w:r w:rsidR="009E0A22">
        <w:rPr>
          <w:sz w:val="22"/>
          <w:szCs w:val="22"/>
        </w:rPr>
        <w:tab/>
      </w:r>
      <w:r w:rsidR="009E0A22">
        <w:rPr>
          <w:sz w:val="22"/>
          <w:szCs w:val="22"/>
        </w:rPr>
        <w:tab/>
      </w:r>
      <w:r w:rsidR="00475283">
        <w:rPr>
          <w:sz w:val="22"/>
          <w:szCs w:val="22"/>
        </w:rPr>
        <w:tab/>
      </w:r>
      <w:r w:rsidR="009E0A22">
        <w:rPr>
          <w:sz w:val="22"/>
          <w:szCs w:val="22"/>
        </w:rPr>
        <w:t xml:space="preserve">risques de l’entreprise </w:t>
      </w:r>
      <w:r>
        <w:rPr>
          <w:sz w:val="22"/>
          <w:szCs w:val="22"/>
        </w:rPr>
        <w:t>en</w:t>
      </w:r>
      <w:r w:rsidR="009E0A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alternance. </w:t>
      </w:r>
    </w:p>
    <w:p w14:paraId="4F349641" w14:textId="77777777" w:rsidR="00386136" w:rsidRDefault="00386136" w:rsidP="00235CA8">
      <w:pPr>
        <w:jc w:val="both"/>
        <w:rPr>
          <w:sz w:val="22"/>
          <w:szCs w:val="22"/>
        </w:rPr>
      </w:pPr>
    </w:p>
    <w:p w14:paraId="2F75256A" w14:textId="1954020F" w:rsidR="00386136" w:rsidRDefault="00386136" w:rsidP="00235C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Enseignements antérieurement dispensés en : </w:t>
      </w:r>
    </w:p>
    <w:p w14:paraId="6BB6A2E8" w14:textId="00DA7567" w:rsidR="00C04C15" w:rsidRPr="00386136" w:rsidRDefault="00C04C15" w:rsidP="00235C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procédure civile (L1/L2/L3) ; </w:t>
      </w:r>
    </w:p>
    <w:p w14:paraId="14428265" w14:textId="77777777" w:rsidR="00235CA8" w:rsidRPr="00386136" w:rsidRDefault="00235CA8" w:rsidP="00235CA8">
      <w:pPr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 xml:space="preserve">- introduction au droit civil et droit des personnes (L1) ; </w:t>
      </w:r>
    </w:p>
    <w:p w14:paraId="569122C0" w14:textId="4BE4BF55" w:rsidR="00235CA8" w:rsidRDefault="00571308" w:rsidP="00235C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droit de la famille (L1) ; </w:t>
      </w:r>
    </w:p>
    <w:p w14:paraId="5486A13F" w14:textId="0058FA3A" w:rsidR="00571308" w:rsidRPr="00386136" w:rsidRDefault="00571308" w:rsidP="00235C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6136">
        <w:rPr>
          <w:sz w:val="22"/>
          <w:szCs w:val="22"/>
        </w:rPr>
        <w:t>- o</w:t>
      </w:r>
      <w:r>
        <w:rPr>
          <w:sz w:val="22"/>
          <w:szCs w:val="22"/>
        </w:rPr>
        <w:t xml:space="preserve">rganisation de la justice (L1). </w:t>
      </w:r>
    </w:p>
    <w:p w14:paraId="32DBD554" w14:textId="75E0A78D" w:rsidR="00235CA8" w:rsidRDefault="00235CA8">
      <w:pPr>
        <w:rPr>
          <w:sz w:val="22"/>
          <w:szCs w:val="22"/>
        </w:rPr>
      </w:pPr>
    </w:p>
    <w:p w14:paraId="4688CDB3" w14:textId="77777777" w:rsidR="00475283" w:rsidRPr="00386136" w:rsidRDefault="00475283">
      <w:pPr>
        <w:rPr>
          <w:sz w:val="22"/>
          <w:szCs w:val="22"/>
        </w:rPr>
      </w:pPr>
    </w:p>
    <w:p w14:paraId="3693D793" w14:textId="5294BECD" w:rsidR="00235CA8" w:rsidRPr="00386136" w:rsidRDefault="00235CA8">
      <w:pPr>
        <w:rPr>
          <w:b/>
          <w:sz w:val="22"/>
          <w:szCs w:val="22"/>
        </w:rPr>
      </w:pPr>
      <w:r w:rsidRPr="00386136">
        <w:rPr>
          <w:sz w:val="22"/>
          <w:szCs w:val="22"/>
        </w:rPr>
        <w:tab/>
      </w:r>
      <w:r w:rsidR="00571308">
        <w:rPr>
          <w:b/>
          <w:sz w:val="22"/>
          <w:szCs w:val="22"/>
        </w:rPr>
        <w:t>Diplômes et formation</w:t>
      </w:r>
    </w:p>
    <w:p w14:paraId="60C1F6FF" w14:textId="77777777" w:rsidR="00235CA8" w:rsidRPr="00386136" w:rsidRDefault="00235CA8">
      <w:pPr>
        <w:rPr>
          <w:b/>
          <w:sz w:val="22"/>
          <w:szCs w:val="22"/>
        </w:rPr>
      </w:pPr>
    </w:p>
    <w:p w14:paraId="0C2D7140" w14:textId="4941FFF5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2009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Qualifié aux fonctions de Maître de conférences par le Conseil </w:t>
      </w:r>
      <w:r w:rsidR="00386136">
        <w:rPr>
          <w:sz w:val="22"/>
          <w:szCs w:val="22"/>
        </w:rPr>
        <w:t xml:space="preserve">National des Universités (CNU), section 01. </w:t>
      </w:r>
    </w:p>
    <w:p w14:paraId="465E6B35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2F43AA9E" w14:textId="70B8A544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2007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>Doctorat en sciences juridiques de l’Université d’Aix-Marseille III</w:t>
      </w:r>
      <w:r w:rsidR="008933F3">
        <w:rPr>
          <w:sz w:val="22"/>
          <w:szCs w:val="22"/>
        </w:rPr>
        <w:t xml:space="preserve"> (Aix-Marseille Université)</w:t>
      </w:r>
      <w:r w:rsidRPr="00386136">
        <w:rPr>
          <w:sz w:val="22"/>
          <w:szCs w:val="22"/>
        </w:rPr>
        <w:t xml:space="preserve">, mention très honorable avec les félicitations du jury. </w:t>
      </w:r>
    </w:p>
    <w:p w14:paraId="51F54B7C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Sujet de thèse : la faute de la victime en droit de la responsabilité civile. </w:t>
      </w:r>
    </w:p>
    <w:p w14:paraId="4A5DB6F4" w14:textId="77777777" w:rsidR="00235CA8" w:rsidRPr="00386136" w:rsidRDefault="00235CA8" w:rsidP="00235CA8">
      <w:pPr>
        <w:rPr>
          <w:sz w:val="22"/>
          <w:szCs w:val="22"/>
        </w:rPr>
      </w:pPr>
    </w:p>
    <w:p w14:paraId="08407F7E" w14:textId="09482113" w:rsidR="00235CA8" w:rsidRPr="00386136" w:rsidRDefault="00235CA8" w:rsidP="00235CA8">
      <w:pPr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2002</w:t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DEA </w:t>
      </w:r>
      <w:r w:rsidR="00386136">
        <w:rPr>
          <w:sz w:val="22"/>
          <w:szCs w:val="22"/>
        </w:rPr>
        <w:t>(Master</w:t>
      </w:r>
      <w:r w:rsidR="00437DCF">
        <w:rPr>
          <w:sz w:val="22"/>
          <w:szCs w:val="22"/>
        </w:rPr>
        <w:t xml:space="preserve"> 2</w:t>
      </w:r>
      <w:r w:rsidR="00386136">
        <w:rPr>
          <w:sz w:val="22"/>
          <w:szCs w:val="22"/>
        </w:rPr>
        <w:t xml:space="preserve">) </w:t>
      </w:r>
      <w:r w:rsidRPr="00386136">
        <w:rPr>
          <w:sz w:val="22"/>
          <w:szCs w:val="22"/>
        </w:rPr>
        <w:t>de droit privé à l’Université d’Aix-Marseille III</w:t>
      </w:r>
      <w:r w:rsidR="008933F3">
        <w:rPr>
          <w:sz w:val="22"/>
          <w:szCs w:val="22"/>
        </w:rPr>
        <w:t xml:space="preserve"> (Aix-Marseille      </w:t>
      </w:r>
      <w:r w:rsidR="008933F3">
        <w:rPr>
          <w:sz w:val="22"/>
          <w:szCs w:val="22"/>
        </w:rPr>
        <w:tab/>
      </w:r>
      <w:r w:rsidR="008933F3">
        <w:rPr>
          <w:sz w:val="22"/>
          <w:szCs w:val="22"/>
        </w:rPr>
        <w:tab/>
      </w:r>
      <w:r w:rsidR="00475283">
        <w:rPr>
          <w:sz w:val="22"/>
          <w:szCs w:val="22"/>
        </w:rPr>
        <w:tab/>
      </w:r>
      <w:r w:rsidR="008933F3">
        <w:rPr>
          <w:sz w:val="22"/>
          <w:szCs w:val="22"/>
        </w:rPr>
        <w:t>Université)</w:t>
      </w:r>
      <w:r w:rsidRPr="00386136">
        <w:rPr>
          <w:sz w:val="22"/>
          <w:szCs w:val="22"/>
        </w:rPr>
        <w:t>, mention assez bien.</w:t>
      </w:r>
    </w:p>
    <w:p w14:paraId="2D67B7E0" w14:textId="77777777" w:rsidR="00235CA8" w:rsidRPr="00386136" w:rsidRDefault="00235CA8" w:rsidP="00235CA8">
      <w:pPr>
        <w:jc w:val="both"/>
        <w:rPr>
          <w:sz w:val="22"/>
          <w:szCs w:val="22"/>
        </w:rPr>
      </w:pPr>
    </w:p>
    <w:p w14:paraId="7F05E191" w14:textId="77777777" w:rsidR="00235CA8" w:rsidRPr="00386136" w:rsidRDefault="00235CA8" w:rsidP="00235CA8">
      <w:pPr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2001</w:t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Maîtrise de droit privé à l’Université du Littoral-Côte d’Opale, mention assez bien. </w:t>
      </w:r>
    </w:p>
    <w:p w14:paraId="1FAB65AC" w14:textId="77777777" w:rsidR="00235CA8" w:rsidRPr="00386136" w:rsidRDefault="00235CA8" w:rsidP="00235CA8">
      <w:pPr>
        <w:rPr>
          <w:b/>
          <w:sz w:val="22"/>
          <w:szCs w:val="22"/>
        </w:rPr>
      </w:pPr>
      <w:r w:rsidRPr="00386136">
        <w:rPr>
          <w:b/>
          <w:sz w:val="22"/>
          <w:szCs w:val="22"/>
        </w:rPr>
        <w:tab/>
      </w:r>
    </w:p>
    <w:p w14:paraId="73FF461A" w14:textId="77777777" w:rsidR="00235CA8" w:rsidRPr="00386136" w:rsidRDefault="00235CA8" w:rsidP="00235CA8">
      <w:pPr>
        <w:rPr>
          <w:b/>
          <w:sz w:val="22"/>
          <w:szCs w:val="22"/>
        </w:rPr>
      </w:pPr>
    </w:p>
    <w:p w14:paraId="233139B9" w14:textId="77777777" w:rsidR="00235CA8" w:rsidRPr="00386136" w:rsidRDefault="00235CA8" w:rsidP="00235CA8">
      <w:pPr>
        <w:rPr>
          <w:b/>
          <w:sz w:val="22"/>
          <w:szCs w:val="22"/>
        </w:rPr>
      </w:pPr>
      <w:r w:rsidRPr="00386136">
        <w:rPr>
          <w:b/>
          <w:sz w:val="22"/>
          <w:szCs w:val="22"/>
        </w:rPr>
        <w:tab/>
        <w:t>Prix et distinctions</w:t>
      </w:r>
    </w:p>
    <w:p w14:paraId="328045CD" w14:textId="77777777" w:rsidR="00235CA8" w:rsidRPr="00386136" w:rsidRDefault="00235CA8" w:rsidP="00235CA8">
      <w:pPr>
        <w:rPr>
          <w:b/>
          <w:sz w:val="22"/>
          <w:szCs w:val="22"/>
        </w:rPr>
      </w:pPr>
    </w:p>
    <w:p w14:paraId="3557E9FF" w14:textId="2F298F99" w:rsidR="00E32903" w:rsidRDefault="00235CA8" w:rsidP="008933F3">
      <w:pPr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2008</w:t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Lauréat du Prix des éditions législatives de la Faculté de droit d’Aix-en-Provence, </w:t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  <w:r w:rsidR="00475283">
        <w:rPr>
          <w:sz w:val="22"/>
          <w:szCs w:val="22"/>
        </w:rPr>
        <w:tab/>
      </w:r>
      <w:r w:rsidRPr="00386136">
        <w:rPr>
          <w:sz w:val="22"/>
          <w:szCs w:val="22"/>
        </w:rPr>
        <w:t xml:space="preserve">récompensant la « meilleure thèse de l’année en droit privé ». </w:t>
      </w:r>
    </w:p>
    <w:p w14:paraId="4A2431DF" w14:textId="77777777" w:rsidR="004A26A1" w:rsidRDefault="004A26A1" w:rsidP="008933F3">
      <w:pPr>
        <w:jc w:val="both"/>
        <w:rPr>
          <w:sz w:val="22"/>
          <w:szCs w:val="22"/>
        </w:rPr>
      </w:pPr>
    </w:p>
    <w:p w14:paraId="60404F46" w14:textId="0E01B354" w:rsidR="008933F3" w:rsidRDefault="008933F3" w:rsidP="008933F3">
      <w:pPr>
        <w:jc w:val="both"/>
        <w:rPr>
          <w:sz w:val="22"/>
          <w:szCs w:val="22"/>
        </w:rPr>
      </w:pPr>
    </w:p>
    <w:p w14:paraId="72495183" w14:textId="77777777" w:rsidR="00475283" w:rsidRPr="00386136" w:rsidRDefault="00475283" w:rsidP="008933F3">
      <w:pPr>
        <w:jc w:val="both"/>
        <w:rPr>
          <w:sz w:val="22"/>
          <w:szCs w:val="22"/>
        </w:rPr>
      </w:pPr>
    </w:p>
    <w:p w14:paraId="2D115BF6" w14:textId="77777777" w:rsidR="00475283" w:rsidRDefault="00475283" w:rsidP="00235CA8">
      <w:pPr>
        <w:ind w:left="708"/>
        <w:rPr>
          <w:b/>
          <w:sz w:val="22"/>
          <w:szCs w:val="22"/>
        </w:rPr>
      </w:pPr>
    </w:p>
    <w:p w14:paraId="4E0F15BB" w14:textId="557BD16B" w:rsidR="008933F3" w:rsidRPr="008933F3" w:rsidRDefault="00235CA8" w:rsidP="00475283">
      <w:pPr>
        <w:ind w:left="708"/>
        <w:rPr>
          <w:sz w:val="22"/>
          <w:szCs w:val="22"/>
        </w:rPr>
      </w:pPr>
      <w:r w:rsidRPr="00386136">
        <w:rPr>
          <w:b/>
          <w:sz w:val="22"/>
          <w:szCs w:val="22"/>
        </w:rPr>
        <w:lastRenderedPageBreak/>
        <w:t>Expérience</w:t>
      </w:r>
      <w:r w:rsidR="00493B6A">
        <w:rPr>
          <w:b/>
          <w:sz w:val="22"/>
          <w:szCs w:val="22"/>
        </w:rPr>
        <w:t>s</w:t>
      </w:r>
      <w:r w:rsidRPr="00386136">
        <w:rPr>
          <w:b/>
          <w:sz w:val="22"/>
          <w:szCs w:val="22"/>
        </w:rPr>
        <w:t xml:space="preserve"> professionnelle</w:t>
      </w:r>
      <w:r w:rsidR="00493B6A">
        <w:rPr>
          <w:b/>
          <w:sz w:val="22"/>
          <w:szCs w:val="22"/>
        </w:rPr>
        <w:t>s</w:t>
      </w:r>
      <w:r w:rsidRPr="00386136">
        <w:rPr>
          <w:b/>
          <w:sz w:val="22"/>
          <w:szCs w:val="22"/>
        </w:rPr>
        <w:t xml:space="preserve"> antérieure</w:t>
      </w:r>
      <w:r w:rsidR="00493B6A">
        <w:rPr>
          <w:b/>
          <w:sz w:val="22"/>
          <w:szCs w:val="22"/>
        </w:rPr>
        <w:t>s</w:t>
      </w:r>
    </w:p>
    <w:p w14:paraId="33C17310" w14:textId="77777777" w:rsidR="008933F3" w:rsidRDefault="008933F3" w:rsidP="00235CA8">
      <w:pPr>
        <w:jc w:val="both"/>
        <w:rPr>
          <w:i/>
          <w:sz w:val="22"/>
          <w:szCs w:val="22"/>
        </w:rPr>
      </w:pPr>
    </w:p>
    <w:p w14:paraId="5B3188F1" w14:textId="77777777" w:rsidR="00235CA8" w:rsidRPr="00386136" w:rsidRDefault="00235CA8" w:rsidP="00235CA8">
      <w:pPr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2009-2011</w:t>
      </w:r>
      <w:r w:rsidRPr="00386136">
        <w:rPr>
          <w:sz w:val="22"/>
          <w:szCs w:val="22"/>
        </w:rPr>
        <w:tab/>
        <w:t>Intervenant à l’</w:t>
      </w:r>
      <w:r w:rsidRPr="00386136">
        <w:rPr>
          <w:b/>
          <w:sz w:val="22"/>
          <w:szCs w:val="22"/>
        </w:rPr>
        <w:t>Uni</w:t>
      </w:r>
      <w:r w:rsidR="00B2611A" w:rsidRPr="00386136">
        <w:rPr>
          <w:b/>
          <w:sz w:val="22"/>
          <w:szCs w:val="22"/>
        </w:rPr>
        <w:t>versité de Caen Basse-Normandie</w:t>
      </w:r>
      <w:r w:rsidR="00B2611A" w:rsidRPr="00386136">
        <w:rPr>
          <w:sz w:val="22"/>
          <w:szCs w:val="22"/>
        </w:rPr>
        <w:t xml:space="preserve">. </w:t>
      </w:r>
    </w:p>
    <w:p w14:paraId="165F6C6E" w14:textId="10059DB8" w:rsidR="00235CA8" w:rsidRPr="00386136" w:rsidRDefault="00235CA8" w:rsidP="00E32903">
      <w:pPr>
        <w:ind w:left="1418"/>
        <w:jc w:val="both"/>
        <w:rPr>
          <w:sz w:val="22"/>
          <w:szCs w:val="22"/>
        </w:rPr>
      </w:pPr>
      <w:r w:rsidRPr="00386136">
        <w:rPr>
          <w:sz w:val="22"/>
          <w:szCs w:val="22"/>
        </w:rPr>
        <w:t xml:space="preserve">Certification National de Compétences mention </w:t>
      </w:r>
      <w:r w:rsidR="00E32903" w:rsidRPr="00386136">
        <w:rPr>
          <w:sz w:val="22"/>
          <w:szCs w:val="22"/>
        </w:rPr>
        <w:t xml:space="preserve">« mandataire judiciaire à la </w:t>
      </w:r>
      <w:r w:rsidRPr="00386136">
        <w:rPr>
          <w:sz w:val="22"/>
          <w:szCs w:val="22"/>
        </w:rPr>
        <w:t xml:space="preserve">protection des majeurs ». Cours de droit des obligations. </w:t>
      </w:r>
    </w:p>
    <w:p w14:paraId="3FB333E3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58DA653A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2006-2008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>ATER à l’</w:t>
      </w:r>
      <w:r w:rsidRPr="00386136">
        <w:rPr>
          <w:b/>
          <w:sz w:val="22"/>
          <w:szCs w:val="22"/>
        </w:rPr>
        <w:t>Université de Caen Basse-Normandie</w:t>
      </w:r>
      <w:r w:rsidRPr="00386136">
        <w:rPr>
          <w:sz w:val="22"/>
          <w:szCs w:val="22"/>
        </w:rPr>
        <w:t>. Travaux dirigés dispensés en :</w:t>
      </w:r>
    </w:p>
    <w:p w14:paraId="4D6A5323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  <w:t xml:space="preserve">- </w:t>
      </w:r>
      <w:r w:rsidRPr="00386136">
        <w:rPr>
          <w:sz w:val="22"/>
          <w:szCs w:val="22"/>
        </w:rPr>
        <w:t xml:space="preserve">droit des obligations (contrat et responsabilité civile, L2) ; </w:t>
      </w:r>
    </w:p>
    <w:p w14:paraId="0304433B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  <w:t>-</w:t>
      </w:r>
      <w:r w:rsidRPr="00386136">
        <w:rPr>
          <w:sz w:val="22"/>
          <w:szCs w:val="22"/>
        </w:rPr>
        <w:t xml:space="preserve"> droit commercial (commerçants et fonds de commerce, L2) ; </w:t>
      </w:r>
    </w:p>
    <w:p w14:paraId="5593D5EB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  <w:t>-</w:t>
      </w:r>
      <w:r w:rsidRPr="00386136">
        <w:rPr>
          <w:sz w:val="22"/>
          <w:szCs w:val="22"/>
        </w:rPr>
        <w:t xml:space="preserve"> introduction au droit (L1) ; </w:t>
      </w:r>
    </w:p>
    <w:p w14:paraId="23828E03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  <w:t>-</w:t>
      </w:r>
      <w:r w:rsidRPr="00386136">
        <w:rPr>
          <w:sz w:val="22"/>
          <w:szCs w:val="22"/>
        </w:rPr>
        <w:t xml:space="preserve"> droit des personnes et des biens (L1).</w:t>
      </w:r>
    </w:p>
    <w:p w14:paraId="628EDA4F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  <w:r w:rsidRPr="00386136">
        <w:rPr>
          <w:i/>
          <w:sz w:val="22"/>
          <w:szCs w:val="22"/>
        </w:rPr>
        <w:tab/>
      </w:r>
    </w:p>
    <w:p w14:paraId="05F06BD4" w14:textId="77777777" w:rsidR="00D04A0A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2002-2006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>Vacataire à l’</w:t>
      </w:r>
      <w:r w:rsidRPr="00386136">
        <w:rPr>
          <w:b/>
          <w:sz w:val="22"/>
          <w:szCs w:val="22"/>
        </w:rPr>
        <w:t>Université d’Aix-Marseille III</w:t>
      </w:r>
      <w:r w:rsidR="00D04A0A">
        <w:rPr>
          <w:b/>
          <w:sz w:val="22"/>
          <w:szCs w:val="22"/>
        </w:rPr>
        <w:t xml:space="preserve"> (Aix-Marseille Université)</w:t>
      </w:r>
      <w:r w:rsidRPr="00386136">
        <w:rPr>
          <w:sz w:val="22"/>
          <w:szCs w:val="22"/>
        </w:rPr>
        <w:t xml:space="preserve">. Travaux dirigés dispensés en : </w:t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</w:p>
    <w:p w14:paraId="1D5A0502" w14:textId="0F50ABAD" w:rsidR="00235CA8" w:rsidRPr="00386136" w:rsidRDefault="00D04A0A" w:rsidP="00235CA8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35CA8" w:rsidRPr="00386136">
        <w:rPr>
          <w:sz w:val="22"/>
          <w:szCs w:val="22"/>
        </w:rPr>
        <w:t xml:space="preserve">- droit de la responsabilité civile (L2) ; </w:t>
      </w:r>
    </w:p>
    <w:p w14:paraId="217EDE51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  <w:t xml:space="preserve">- </w:t>
      </w:r>
      <w:r w:rsidRPr="00386136">
        <w:rPr>
          <w:sz w:val="22"/>
          <w:szCs w:val="22"/>
        </w:rPr>
        <w:t xml:space="preserve">introduction au droit (L1) ; </w:t>
      </w:r>
    </w:p>
    <w:p w14:paraId="1B2392EF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  <w:t>-</w:t>
      </w:r>
      <w:r w:rsidRPr="00386136">
        <w:rPr>
          <w:sz w:val="22"/>
          <w:szCs w:val="22"/>
        </w:rPr>
        <w:t xml:space="preserve"> droit des personnes (L1) ; </w:t>
      </w:r>
    </w:p>
    <w:p w14:paraId="3EC89592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  <w:t>-</w:t>
      </w:r>
      <w:r w:rsidRPr="00386136">
        <w:rPr>
          <w:sz w:val="22"/>
          <w:szCs w:val="22"/>
        </w:rPr>
        <w:t xml:space="preserve"> droit de la famille (L1). </w:t>
      </w:r>
    </w:p>
    <w:p w14:paraId="301EC51A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277C3FBA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2000-2001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>Tuteur en droit à l’</w:t>
      </w:r>
      <w:r w:rsidRPr="00386136">
        <w:rPr>
          <w:b/>
          <w:sz w:val="22"/>
          <w:szCs w:val="22"/>
        </w:rPr>
        <w:t>Université du Littoral-Côte d’Opale</w:t>
      </w:r>
      <w:r w:rsidRPr="00386136">
        <w:rPr>
          <w:sz w:val="22"/>
          <w:szCs w:val="22"/>
        </w:rPr>
        <w:t xml:space="preserve">. </w:t>
      </w:r>
    </w:p>
    <w:p w14:paraId="64A58EC5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799D9836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2DE54CC0" w14:textId="33CDA53D" w:rsidR="00235CA8" w:rsidRDefault="00235CA8" w:rsidP="00235CA8">
      <w:pPr>
        <w:ind w:left="708"/>
        <w:rPr>
          <w:b/>
          <w:sz w:val="22"/>
          <w:szCs w:val="22"/>
        </w:rPr>
      </w:pPr>
      <w:r w:rsidRPr="00386136">
        <w:rPr>
          <w:b/>
          <w:sz w:val="22"/>
          <w:szCs w:val="22"/>
        </w:rPr>
        <w:t>Activités scientifiques</w:t>
      </w:r>
    </w:p>
    <w:p w14:paraId="315AA03C" w14:textId="7CC1FE4D" w:rsidR="003F1E61" w:rsidRDefault="003F1E61" w:rsidP="00235CA8">
      <w:pPr>
        <w:ind w:left="708"/>
        <w:rPr>
          <w:b/>
          <w:sz w:val="22"/>
          <w:szCs w:val="22"/>
        </w:rPr>
      </w:pPr>
    </w:p>
    <w:p w14:paraId="73CD341A" w14:textId="09B1D320" w:rsidR="000C674E" w:rsidRPr="000C674E" w:rsidRDefault="000C674E" w:rsidP="003F1E61">
      <w:pPr>
        <w:ind w:left="1416" w:hanging="1416"/>
        <w:jc w:val="both"/>
        <w:rPr>
          <w:sz w:val="22"/>
          <w:szCs w:val="22"/>
        </w:rPr>
      </w:pPr>
      <w:r>
        <w:rPr>
          <w:i/>
          <w:sz w:val="22"/>
          <w:szCs w:val="22"/>
        </w:rPr>
        <w:t>Depuis 2019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Membre du L</w:t>
      </w:r>
      <w:r w:rsidR="00414980">
        <w:rPr>
          <w:sz w:val="22"/>
          <w:szCs w:val="22"/>
        </w:rPr>
        <w:t>a</w:t>
      </w:r>
      <w:r>
        <w:rPr>
          <w:sz w:val="22"/>
          <w:szCs w:val="22"/>
        </w:rPr>
        <w:t>boratoire de Recherche Juridique (LARJ) – EA 3603 – Université du Littoral-Côt</w:t>
      </w:r>
      <w:r w:rsidR="00405C31">
        <w:rPr>
          <w:sz w:val="22"/>
          <w:szCs w:val="22"/>
        </w:rPr>
        <w:t>e</w:t>
      </w:r>
      <w:r>
        <w:rPr>
          <w:sz w:val="22"/>
          <w:szCs w:val="22"/>
        </w:rPr>
        <w:t xml:space="preserve"> d’Opale. </w:t>
      </w:r>
    </w:p>
    <w:p w14:paraId="2927BE4C" w14:textId="77777777" w:rsidR="000C674E" w:rsidRDefault="000C674E" w:rsidP="003F1E61">
      <w:pPr>
        <w:ind w:left="1416" w:hanging="1416"/>
        <w:jc w:val="both"/>
        <w:rPr>
          <w:i/>
          <w:sz w:val="22"/>
          <w:szCs w:val="22"/>
        </w:rPr>
      </w:pPr>
    </w:p>
    <w:p w14:paraId="5A9B5F47" w14:textId="2254C574" w:rsidR="007B6F25" w:rsidRPr="007B6F25" w:rsidRDefault="007B6F25" w:rsidP="003F1E61">
      <w:pPr>
        <w:ind w:left="1416" w:hanging="1416"/>
        <w:jc w:val="both"/>
        <w:rPr>
          <w:sz w:val="22"/>
          <w:szCs w:val="22"/>
        </w:rPr>
      </w:pPr>
      <w:r>
        <w:rPr>
          <w:i/>
          <w:sz w:val="22"/>
          <w:szCs w:val="22"/>
        </w:rPr>
        <w:t>2019</w:t>
      </w:r>
      <w:r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Membre du comité d’organisation du colloque relatif aux </w:t>
      </w:r>
      <w:r>
        <w:rPr>
          <w:sz w:val="22"/>
          <w:szCs w:val="22"/>
        </w:rPr>
        <w:t>évolutions contemporaines du préjudice</w:t>
      </w:r>
      <w:r w:rsidRPr="00386136">
        <w:rPr>
          <w:sz w:val="22"/>
          <w:szCs w:val="22"/>
        </w:rPr>
        <w:t xml:space="preserve">, organisé sous l’égide du C3RD le </w:t>
      </w:r>
      <w:r>
        <w:rPr>
          <w:sz w:val="22"/>
          <w:szCs w:val="22"/>
        </w:rPr>
        <w:t>1</w:t>
      </w:r>
      <w:r w:rsidRPr="007B6F25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février 2019 à la Cour de cassation. Publication prévue aux éditions </w:t>
      </w:r>
      <w:proofErr w:type="spellStart"/>
      <w:r>
        <w:rPr>
          <w:sz w:val="22"/>
          <w:szCs w:val="22"/>
        </w:rPr>
        <w:t>l’Harmattan</w:t>
      </w:r>
      <w:proofErr w:type="spellEnd"/>
      <w:r>
        <w:rPr>
          <w:sz w:val="22"/>
          <w:szCs w:val="22"/>
        </w:rPr>
        <w:t xml:space="preserve">. </w:t>
      </w:r>
    </w:p>
    <w:p w14:paraId="288A41F7" w14:textId="77777777" w:rsidR="007B6F25" w:rsidRDefault="007B6F25" w:rsidP="003F1E61">
      <w:pPr>
        <w:ind w:left="1416" w:hanging="1416"/>
        <w:jc w:val="both"/>
        <w:rPr>
          <w:i/>
          <w:sz w:val="22"/>
          <w:szCs w:val="22"/>
        </w:rPr>
      </w:pPr>
    </w:p>
    <w:p w14:paraId="4371A25B" w14:textId="15A2FB2A" w:rsidR="003F1E61" w:rsidRPr="003F1E61" w:rsidRDefault="003F1E61" w:rsidP="003F1E61">
      <w:pPr>
        <w:ind w:left="1416" w:hanging="1416"/>
        <w:jc w:val="both"/>
        <w:rPr>
          <w:sz w:val="22"/>
          <w:szCs w:val="22"/>
        </w:rPr>
      </w:pPr>
      <w:r>
        <w:rPr>
          <w:i/>
          <w:sz w:val="22"/>
          <w:szCs w:val="22"/>
        </w:rPr>
        <w:t>2018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Participation à la conférence-débat « Intelligence artificielle et gestion des risques » le 16 novembre 2018 à la Faculté des sciences économiques et de gestion de l’Université de Strasbourg. Intervention relative à la responsabilité du fait du véhicule autonome. </w:t>
      </w:r>
    </w:p>
    <w:p w14:paraId="50BE226A" w14:textId="77777777" w:rsidR="00235CA8" w:rsidRPr="00386136" w:rsidRDefault="00235CA8" w:rsidP="00235CA8">
      <w:pPr>
        <w:ind w:left="708"/>
        <w:rPr>
          <w:b/>
          <w:sz w:val="22"/>
          <w:szCs w:val="22"/>
        </w:rPr>
      </w:pPr>
    </w:p>
    <w:p w14:paraId="2406A014" w14:textId="6592A126" w:rsidR="00C04C15" w:rsidRPr="00C04C15" w:rsidRDefault="004370A8" w:rsidP="00235CA8">
      <w:pPr>
        <w:ind w:left="1416" w:hanging="1416"/>
        <w:jc w:val="both"/>
        <w:rPr>
          <w:sz w:val="22"/>
          <w:szCs w:val="22"/>
        </w:rPr>
      </w:pPr>
      <w:r>
        <w:rPr>
          <w:i/>
          <w:sz w:val="22"/>
          <w:szCs w:val="22"/>
        </w:rPr>
        <w:t>2016-2018</w:t>
      </w:r>
      <w:r w:rsidR="00C04C15">
        <w:rPr>
          <w:sz w:val="22"/>
          <w:szCs w:val="22"/>
        </w:rPr>
        <w:tab/>
        <w:t xml:space="preserve">Expertise externe de projets soumis à l’Agence Nationale de la Recherche (ANR). </w:t>
      </w:r>
    </w:p>
    <w:p w14:paraId="2D37E95F" w14:textId="77777777" w:rsidR="00C04C15" w:rsidRDefault="00C04C15" w:rsidP="00235CA8">
      <w:pPr>
        <w:ind w:left="1416" w:hanging="1416"/>
        <w:jc w:val="both"/>
        <w:rPr>
          <w:i/>
          <w:sz w:val="22"/>
          <w:szCs w:val="22"/>
        </w:rPr>
      </w:pPr>
    </w:p>
    <w:p w14:paraId="1ABF672B" w14:textId="77777777" w:rsidR="00553F6D" w:rsidRPr="004D762C" w:rsidRDefault="00553F6D" w:rsidP="00553F6D">
      <w:pPr>
        <w:ind w:left="1416" w:hanging="1416"/>
        <w:jc w:val="both"/>
        <w:rPr>
          <w:sz w:val="22"/>
          <w:szCs w:val="22"/>
        </w:rPr>
      </w:pPr>
      <w:r>
        <w:rPr>
          <w:i/>
          <w:sz w:val="22"/>
          <w:szCs w:val="22"/>
        </w:rPr>
        <w:t>Depuis 2015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Direction de mémoires de M2 en droit des obligations et droit des affaires. </w:t>
      </w:r>
    </w:p>
    <w:p w14:paraId="3BE59BC9" w14:textId="77777777" w:rsidR="00553F6D" w:rsidRDefault="00553F6D" w:rsidP="00553F6D">
      <w:pPr>
        <w:ind w:left="1416" w:hanging="1416"/>
        <w:jc w:val="both"/>
        <w:rPr>
          <w:i/>
          <w:sz w:val="22"/>
          <w:szCs w:val="22"/>
        </w:rPr>
      </w:pPr>
    </w:p>
    <w:p w14:paraId="37D69CAE" w14:textId="10AEEADA" w:rsidR="005F7CA1" w:rsidRPr="00386136" w:rsidRDefault="005F7CA1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Depuis 2013</w:t>
      </w:r>
      <w:r w:rsidR="003F76E3" w:rsidRPr="00386136">
        <w:rPr>
          <w:sz w:val="22"/>
          <w:szCs w:val="22"/>
        </w:rPr>
        <w:tab/>
        <w:t>R</w:t>
      </w:r>
      <w:r w:rsidRPr="00386136">
        <w:rPr>
          <w:sz w:val="22"/>
          <w:szCs w:val="22"/>
        </w:rPr>
        <w:t xml:space="preserve">édaction </w:t>
      </w:r>
      <w:r w:rsidR="00571308">
        <w:rPr>
          <w:sz w:val="22"/>
          <w:szCs w:val="22"/>
        </w:rPr>
        <w:t xml:space="preserve">et actualisation </w:t>
      </w:r>
      <w:r w:rsidRPr="00386136">
        <w:rPr>
          <w:sz w:val="22"/>
          <w:szCs w:val="22"/>
        </w:rPr>
        <w:t xml:space="preserve">de fascicules du </w:t>
      </w:r>
      <w:proofErr w:type="spellStart"/>
      <w:r w:rsidRPr="00386136">
        <w:rPr>
          <w:sz w:val="22"/>
          <w:szCs w:val="22"/>
        </w:rPr>
        <w:t>JurisClasseur</w:t>
      </w:r>
      <w:proofErr w:type="spellEnd"/>
      <w:r w:rsidRPr="00386136">
        <w:rPr>
          <w:sz w:val="22"/>
          <w:szCs w:val="22"/>
        </w:rPr>
        <w:t xml:space="preserve"> : </w:t>
      </w:r>
    </w:p>
    <w:p w14:paraId="3820F2AC" w14:textId="77777777" w:rsidR="005F7CA1" w:rsidRPr="00386136" w:rsidRDefault="005F7CA1" w:rsidP="00235CA8">
      <w:pPr>
        <w:ind w:left="1416" w:hanging="1416"/>
        <w:jc w:val="both"/>
        <w:rPr>
          <w:sz w:val="22"/>
          <w:szCs w:val="22"/>
        </w:rPr>
      </w:pPr>
    </w:p>
    <w:p w14:paraId="25680F4F" w14:textId="1496B8CA" w:rsidR="005F7CA1" w:rsidRPr="00386136" w:rsidRDefault="005F7CA1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- </w:t>
      </w:r>
      <w:proofErr w:type="spellStart"/>
      <w:r w:rsidRPr="00386136">
        <w:rPr>
          <w:sz w:val="22"/>
          <w:szCs w:val="22"/>
        </w:rPr>
        <w:t>JurisClasseur</w:t>
      </w:r>
      <w:proofErr w:type="spellEnd"/>
      <w:r w:rsidRPr="00386136">
        <w:rPr>
          <w:sz w:val="22"/>
          <w:szCs w:val="22"/>
        </w:rPr>
        <w:t xml:space="preserve"> Encyclop</w:t>
      </w:r>
      <w:r w:rsidR="000F1D68" w:rsidRPr="00386136">
        <w:rPr>
          <w:sz w:val="22"/>
          <w:szCs w:val="22"/>
        </w:rPr>
        <w:t xml:space="preserve">édie des Huissiers de justice, « V° Responsabilité civile » : </w:t>
      </w:r>
    </w:p>
    <w:p w14:paraId="6FF6B7BD" w14:textId="1B17A70F" w:rsidR="005F7CA1" w:rsidRPr="00386136" w:rsidRDefault="005F7CA1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 xml:space="preserve">- fasc. </w:t>
      </w:r>
      <w:r w:rsidR="000F1D68" w:rsidRPr="00386136">
        <w:rPr>
          <w:sz w:val="22"/>
          <w:szCs w:val="22"/>
        </w:rPr>
        <w:t xml:space="preserve">10, </w:t>
      </w:r>
      <w:r w:rsidRPr="00386136">
        <w:rPr>
          <w:sz w:val="22"/>
          <w:szCs w:val="22"/>
        </w:rPr>
        <w:t>Les constante</w:t>
      </w:r>
      <w:r w:rsidR="000F1D68" w:rsidRPr="00386136">
        <w:rPr>
          <w:sz w:val="22"/>
          <w:szCs w:val="22"/>
        </w:rPr>
        <w:t xml:space="preserve">s de la </w:t>
      </w:r>
      <w:r w:rsidR="001202A1">
        <w:rPr>
          <w:sz w:val="22"/>
          <w:szCs w:val="22"/>
        </w:rPr>
        <w:t xml:space="preserve">responsabilité civile, 09/2013 ; </w:t>
      </w:r>
    </w:p>
    <w:p w14:paraId="79CE6D1B" w14:textId="2FFDBC58" w:rsidR="0079001D" w:rsidRPr="00386136" w:rsidRDefault="0079001D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 xml:space="preserve">- fasc. 20, le fait générateur de </w:t>
      </w:r>
      <w:r w:rsidR="00D45594" w:rsidRPr="00386136">
        <w:rPr>
          <w:sz w:val="22"/>
          <w:szCs w:val="22"/>
        </w:rPr>
        <w:t xml:space="preserve">la </w:t>
      </w:r>
      <w:r w:rsidRPr="00386136">
        <w:rPr>
          <w:sz w:val="22"/>
          <w:szCs w:val="22"/>
        </w:rPr>
        <w:t>responsabilité délict</w:t>
      </w:r>
      <w:r w:rsidR="00D45594" w:rsidRPr="00386136">
        <w:rPr>
          <w:sz w:val="22"/>
          <w:szCs w:val="22"/>
        </w:rPr>
        <w:t xml:space="preserve">uelle, </w:t>
      </w:r>
      <w:r w:rsidR="001202A1">
        <w:rPr>
          <w:sz w:val="22"/>
          <w:szCs w:val="22"/>
        </w:rPr>
        <w:t>10/2014</w:t>
      </w:r>
      <w:r w:rsidR="00D45594" w:rsidRPr="00386136">
        <w:rPr>
          <w:sz w:val="22"/>
          <w:szCs w:val="22"/>
        </w:rPr>
        <w:t xml:space="preserve"> ; </w:t>
      </w:r>
    </w:p>
    <w:p w14:paraId="28BF2458" w14:textId="19EB097C" w:rsidR="00524D27" w:rsidRDefault="00D45594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 xml:space="preserve">- fasc. 30, le fait générateur de la responsabilité contractuelle, </w:t>
      </w:r>
      <w:r w:rsidR="00AD76E7">
        <w:rPr>
          <w:sz w:val="22"/>
          <w:szCs w:val="22"/>
        </w:rPr>
        <w:t>12/2014</w:t>
      </w:r>
      <w:r w:rsidRPr="00386136">
        <w:rPr>
          <w:sz w:val="22"/>
          <w:szCs w:val="22"/>
        </w:rPr>
        <w:t> ;</w:t>
      </w:r>
    </w:p>
    <w:p w14:paraId="00EF45BD" w14:textId="5ECC983B" w:rsidR="00D45594" w:rsidRPr="00386136" w:rsidRDefault="00524D27" w:rsidP="00235CA8">
      <w:pPr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fasc. 40, les régimes spéciaux de responsabilité civile, </w:t>
      </w:r>
      <w:r w:rsidR="00571308">
        <w:rPr>
          <w:sz w:val="22"/>
          <w:szCs w:val="22"/>
        </w:rPr>
        <w:t>06/2015</w:t>
      </w:r>
      <w:r>
        <w:rPr>
          <w:sz w:val="22"/>
          <w:szCs w:val="22"/>
        </w:rPr>
        <w:t xml:space="preserve">. </w:t>
      </w:r>
      <w:r w:rsidR="00D45594" w:rsidRPr="00386136">
        <w:rPr>
          <w:sz w:val="22"/>
          <w:szCs w:val="22"/>
        </w:rPr>
        <w:t xml:space="preserve"> </w:t>
      </w:r>
    </w:p>
    <w:p w14:paraId="630A702C" w14:textId="29743444" w:rsidR="005F7CA1" w:rsidRPr="00386136" w:rsidRDefault="005F7CA1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</w:r>
    </w:p>
    <w:p w14:paraId="227E30F6" w14:textId="1477A73B" w:rsidR="005F7CA1" w:rsidRPr="00386136" w:rsidRDefault="005F7CA1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  <w:t xml:space="preserve">- </w:t>
      </w:r>
      <w:proofErr w:type="spellStart"/>
      <w:r w:rsidRPr="00386136">
        <w:rPr>
          <w:sz w:val="22"/>
          <w:szCs w:val="22"/>
        </w:rPr>
        <w:t>JurisClas</w:t>
      </w:r>
      <w:r w:rsidR="000F1D68" w:rsidRPr="00386136">
        <w:rPr>
          <w:sz w:val="22"/>
          <w:szCs w:val="22"/>
        </w:rPr>
        <w:t>seur</w:t>
      </w:r>
      <w:proofErr w:type="spellEnd"/>
      <w:r w:rsidR="000F1D68" w:rsidRPr="00386136">
        <w:rPr>
          <w:sz w:val="22"/>
          <w:szCs w:val="22"/>
        </w:rPr>
        <w:t xml:space="preserve"> Entreprise individuelle :  </w:t>
      </w:r>
    </w:p>
    <w:p w14:paraId="533AF9D2" w14:textId="61E7199C" w:rsidR="005F7CA1" w:rsidRPr="00386136" w:rsidRDefault="005F7CA1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 xml:space="preserve">- fasc. </w:t>
      </w:r>
      <w:r w:rsidR="000F1D68" w:rsidRPr="00386136">
        <w:rPr>
          <w:sz w:val="22"/>
          <w:szCs w:val="22"/>
        </w:rPr>
        <w:t xml:space="preserve">1910, </w:t>
      </w:r>
      <w:r w:rsidR="0079001D" w:rsidRPr="00386136">
        <w:rPr>
          <w:sz w:val="22"/>
          <w:szCs w:val="22"/>
        </w:rPr>
        <w:t xml:space="preserve">Cession amiable du fonds de commerce – Capacité, 03/2014. </w:t>
      </w:r>
    </w:p>
    <w:p w14:paraId="3F458259" w14:textId="77777777" w:rsidR="005F7CA1" w:rsidRPr="00386136" w:rsidRDefault="005F7CA1" w:rsidP="00235CA8">
      <w:pPr>
        <w:ind w:left="1416" w:hanging="1416"/>
        <w:jc w:val="both"/>
        <w:rPr>
          <w:i/>
          <w:sz w:val="22"/>
          <w:szCs w:val="22"/>
        </w:rPr>
      </w:pPr>
    </w:p>
    <w:p w14:paraId="293B0CFC" w14:textId="103CBFE5" w:rsidR="00235CA8" w:rsidRPr="00386136" w:rsidRDefault="00235CA8" w:rsidP="00235CA8">
      <w:pPr>
        <w:ind w:left="1416" w:hanging="1416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2011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Membre du comité d’organisation du colloque relatif aux antennes relais, organisé sous l’égide du C3RD le 28 janvier 2011 à la </w:t>
      </w:r>
      <w:r w:rsidR="00AC6FAC" w:rsidRPr="00386136">
        <w:rPr>
          <w:sz w:val="22"/>
          <w:szCs w:val="22"/>
        </w:rPr>
        <w:t>Faculté libre de droit de</w:t>
      </w:r>
      <w:r w:rsidRPr="00386136">
        <w:rPr>
          <w:sz w:val="22"/>
          <w:szCs w:val="22"/>
        </w:rPr>
        <w:t xml:space="preserve"> Paris-La Défense. </w:t>
      </w:r>
      <w:r w:rsidR="00EF4CCA">
        <w:rPr>
          <w:sz w:val="22"/>
          <w:szCs w:val="22"/>
        </w:rPr>
        <w:t xml:space="preserve">Publié aux éditions </w:t>
      </w:r>
      <w:proofErr w:type="spellStart"/>
      <w:r w:rsidR="00EF4CCA">
        <w:rPr>
          <w:sz w:val="22"/>
          <w:szCs w:val="22"/>
        </w:rPr>
        <w:t>L</w:t>
      </w:r>
      <w:r w:rsidR="003E465A" w:rsidRPr="00386136">
        <w:rPr>
          <w:sz w:val="22"/>
          <w:szCs w:val="22"/>
        </w:rPr>
        <w:t>’Harmattan</w:t>
      </w:r>
      <w:proofErr w:type="spellEnd"/>
      <w:r w:rsidR="003E465A" w:rsidRPr="00386136">
        <w:rPr>
          <w:sz w:val="22"/>
          <w:szCs w:val="22"/>
        </w:rPr>
        <w:t xml:space="preserve">, coll. « Droit, société et risque » (2013). </w:t>
      </w:r>
    </w:p>
    <w:p w14:paraId="596DD62B" w14:textId="77777777" w:rsidR="00235CA8" w:rsidRPr="00386136" w:rsidRDefault="00235CA8" w:rsidP="00235CA8">
      <w:pPr>
        <w:ind w:left="708"/>
        <w:rPr>
          <w:b/>
          <w:sz w:val="22"/>
          <w:szCs w:val="22"/>
        </w:rPr>
      </w:pPr>
    </w:p>
    <w:p w14:paraId="65BE196B" w14:textId="48AE38A5" w:rsidR="00235CA8" w:rsidRPr="00386136" w:rsidRDefault="00475283" w:rsidP="00235CA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2009-2019</w:t>
      </w:r>
      <w:r w:rsidR="00235CA8" w:rsidRPr="00386136">
        <w:rPr>
          <w:b/>
          <w:sz w:val="22"/>
          <w:szCs w:val="22"/>
        </w:rPr>
        <w:tab/>
      </w:r>
      <w:r w:rsidR="00235CA8" w:rsidRPr="00386136">
        <w:rPr>
          <w:sz w:val="22"/>
          <w:szCs w:val="22"/>
        </w:rPr>
        <w:t xml:space="preserve">Membre du Centre de recherches sur les relations entre le risque et le droit (C3RD) de </w:t>
      </w:r>
      <w:r w:rsidR="008933F3">
        <w:rPr>
          <w:sz w:val="22"/>
          <w:szCs w:val="22"/>
        </w:rPr>
        <w:tab/>
      </w:r>
      <w:r w:rsidR="008933F3">
        <w:rPr>
          <w:sz w:val="22"/>
          <w:szCs w:val="22"/>
        </w:rPr>
        <w:tab/>
      </w:r>
      <w:r w:rsidR="00235CA8" w:rsidRPr="00386136">
        <w:rPr>
          <w:sz w:val="22"/>
          <w:szCs w:val="22"/>
        </w:rPr>
        <w:t xml:space="preserve">la Faculté libre de Droit de </w:t>
      </w:r>
      <w:r w:rsidR="00AC6FAC" w:rsidRPr="00386136">
        <w:rPr>
          <w:sz w:val="22"/>
          <w:szCs w:val="22"/>
        </w:rPr>
        <w:t xml:space="preserve">l’Institut catholique de Lille. </w:t>
      </w:r>
    </w:p>
    <w:p w14:paraId="48E209FE" w14:textId="77777777" w:rsidR="00235CA8" w:rsidRPr="00386136" w:rsidRDefault="00235CA8" w:rsidP="00235CA8">
      <w:pPr>
        <w:jc w:val="both"/>
        <w:rPr>
          <w:sz w:val="22"/>
          <w:szCs w:val="22"/>
        </w:rPr>
      </w:pPr>
    </w:p>
    <w:p w14:paraId="5D085618" w14:textId="77777777" w:rsidR="00235CA8" w:rsidRPr="00386136" w:rsidRDefault="00235CA8" w:rsidP="00235CA8">
      <w:pPr>
        <w:ind w:left="708"/>
        <w:rPr>
          <w:b/>
          <w:sz w:val="22"/>
          <w:szCs w:val="22"/>
        </w:rPr>
      </w:pPr>
    </w:p>
    <w:p w14:paraId="3E870A52" w14:textId="15C13DE7" w:rsidR="00235CA8" w:rsidRPr="00386136" w:rsidRDefault="00235CA8" w:rsidP="00235CA8">
      <w:pPr>
        <w:ind w:left="708"/>
        <w:rPr>
          <w:b/>
          <w:sz w:val="22"/>
          <w:szCs w:val="22"/>
        </w:rPr>
      </w:pPr>
      <w:r w:rsidRPr="00386136">
        <w:rPr>
          <w:b/>
          <w:sz w:val="22"/>
          <w:szCs w:val="22"/>
        </w:rPr>
        <w:t>Publications</w:t>
      </w:r>
    </w:p>
    <w:p w14:paraId="66139F8B" w14:textId="77777777" w:rsidR="008933F3" w:rsidRDefault="008933F3" w:rsidP="008D667B">
      <w:pPr>
        <w:ind w:left="1410" w:hanging="1410"/>
        <w:jc w:val="both"/>
        <w:rPr>
          <w:i/>
          <w:sz w:val="22"/>
          <w:szCs w:val="22"/>
        </w:rPr>
      </w:pPr>
    </w:p>
    <w:p w14:paraId="54355270" w14:textId="1CA88614" w:rsidR="000C674E" w:rsidRPr="000C674E" w:rsidRDefault="001303B3" w:rsidP="000C674E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>2019</w:t>
      </w:r>
      <w:r>
        <w:rPr>
          <w:i/>
          <w:sz w:val="22"/>
          <w:szCs w:val="22"/>
        </w:rPr>
        <w:tab/>
      </w:r>
      <w:r w:rsidR="000C674E">
        <w:rPr>
          <w:sz w:val="22"/>
          <w:szCs w:val="22"/>
        </w:rPr>
        <w:t xml:space="preserve">« Application immédiate de la loi </w:t>
      </w:r>
      <w:r w:rsidR="000C674E">
        <w:rPr>
          <w:i/>
          <w:sz w:val="22"/>
          <w:szCs w:val="22"/>
        </w:rPr>
        <w:t>Sapin 2</w:t>
      </w:r>
      <w:r w:rsidR="000C674E">
        <w:rPr>
          <w:sz w:val="22"/>
          <w:szCs w:val="22"/>
        </w:rPr>
        <w:t xml:space="preserve"> à la responsabilité pour insuffisance d’actif : nouvel exemple de la mansuétude contemporaine à l’égard du dirigeant ». Commentaire de Com. 5 septembre 2018 (n° 17-15.031), à paraître aux Petites Affiches. </w:t>
      </w:r>
    </w:p>
    <w:p w14:paraId="547B6019" w14:textId="77777777" w:rsidR="000C674E" w:rsidRDefault="000C674E" w:rsidP="00F77378">
      <w:pPr>
        <w:ind w:left="1410" w:hanging="1410"/>
        <w:jc w:val="both"/>
        <w:rPr>
          <w:i/>
          <w:sz w:val="22"/>
          <w:szCs w:val="22"/>
        </w:rPr>
      </w:pPr>
    </w:p>
    <w:p w14:paraId="49DD90C8" w14:textId="082C7C9E" w:rsidR="001303B3" w:rsidRDefault="001303B3" w:rsidP="000C674E">
      <w:pPr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« L’amende civile : de la nécessaire restitution du profit par le responsable au discutable avènement de</w:t>
      </w:r>
      <w:r w:rsidR="0085692B">
        <w:rPr>
          <w:sz w:val="22"/>
          <w:szCs w:val="22"/>
        </w:rPr>
        <w:t xml:space="preserve"> la logique des</w:t>
      </w:r>
      <w:r>
        <w:rPr>
          <w:sz w:val="22"/>
          <w:szCs w:val="22"/>
        </w:rPr>
        <w:t xml:space="preserve"> dommages et intérêts punitifs »</w:t>
      </w:r>
      <w:r w:rsidR="00FF150C">
        <w:rPr>
          <w:sz w:val="22"/>
          <w:szCs w:val="22"/>
        </w:rPr>
        <w:t xml:space="preserve">, in </w:t>
      </w:r>
      <w:r w:rsidR="00FF150C">
        <w:rPr>
          <w:i/>
          <w:sz w:val="22"/>
          <w:szCs w:val="22"/>
        </w:rPr>
        <w:t>Les évolutions contemporaines du préjudice</w:t>
      </w:r>
      <w:r w:rsidR="00FF150C">
        <w:rPr>
          <w:sz w:val="22"/>
          <w:szCs w:val="22"/>
        </w:rPr>
        <w:t xml:space="preserve">, colloque Cour de cassation 2019, à paraître aux éditions </w:t>
      </w:r>
      <w:proofErr w:type="spellStart"/>
      <w:r w:rsidR="00FF150C">
        <w:rPr>
          <w:sz w:val="22"/>
          <w:szCs w:val="22"/>
        </w:rPr>
        <w:t>l’Harmattan</w:t>
      </w:r>
      <w:proofErr w:type="spellEnd"/>
      <w:r w:rsidR="00FF150C">
        <w:rPr>
          <w:sz w:val="22"/>
          <w:szCs w:val="22"/>
        </w:rPr>
        <w:t xml:space="preserve">. </w:t>
      </w:r>
    </w:p>
    <w:p w14:paraId="38C3777B" w14:textId="3DCB8758" w:rsidR="00807ED2" w:rsidRDefault="00807ED2" w:rsidP="000C674E">
      <w:pPr>
        <w:ind w:left="1410"/>
        <w:jc w:val="both"/>
        <w:rPr>
          <w:sz w:val="22"/>
          <w:szCs w:val="22"/>
        </w:rPr>
      </w:pPr>
    </w:p>
    <w:p w14:paraId="441416C2" w14:textId="419F3EF4" w:rsidR="00807ED2" w:rsidRPr="000C674E" w:rsidRDefault="00807ED2" w:rsidP="000C674E">
      <w:pPr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« La validité du cautionnement sans date », obs. sous Com. 15 mai 2019 (n° 17-28.875), JCP édition générale 2019, n°</w:t>
      </w:r>
      <w:r w:rsidR="00FA0C42">
        <w:rPr>
          <w:sz w:val="22"/>
          <w:szCs w:val="22"/>
        </w:rPr>
        <w:t xml:space="preserve"> 23, </w:t>
      </w:r>
      <w:proofErr w:type="spellStart"/>
      <w:r w:rsidR="00FA0C42">
        <w:rPr>
          <w:sz w:val="22"/>
          <w:szCs w:val="22"/>
        </w:rPr>
        <w:t>act</w:t>
      </w:r>
      <w:proofErr w:type="spellEnd"/>
      <w:r w:rsidR="00FA0C42">
        <w:rPr>
          <w:sz w:val="22"/>
          <w:szCs w:val="22"/>
        </w:rPr>
        <w:t xml:space="preserve">. 596. </w:t>
      </w:r>
    </w:p>
    <w:p w14:paraId="551ACB16" w14:textId="77777777" w:rsidR="001303B3" w:rsidRDefault="001303B3" w:rsidP="00F77378">
      <w:pPr>
        <w:ind w:left="1410" w:hanging="1410"/>
        <w:jc w:val="both"/>
        <w:rPr>
          <w:i/>
          <w:sz w:val="22"/>
          <w:szCs w:val="22"/>
        </w:rPr>
      </w:pPr>
    </w:p>
    <w:p w14:paraId="2D6FB622" w14:textId="35E8F4E8" w:rsidR="008850F2" w:rsidRPr="008850F2" w:rsidRDefault="00F77378" w:rsidP="00F77378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>2018</w:t>
      </w:r>
      <w:r>
        <w:rPr>
          <w:i/>
          <w:sz w:val="22"/>
          <w:szCs w:val="22"/>
        </w:rPr>
        <w:tab/>
      </w:r>
      <w:r w:rsidR="008850F2">
        <w:rPr>
          <w:sz w:val="22"/>
          <w:szCs w:val="22"/>
        </w:rPr>
        <w:t>« L’amende civile, portée par l’article 1266-1 du Code civil tel</w:t>
      </w:r>
      <w:r w:rsidR="007B6F25">
        <w:rPr>
          <w:sz w:val="22"/>
          <w:szCs w:val="22"/>
        </w:rPr>
        <w:t xml:space="preserve"> qu’issu du projet de loi du 13 mars 2017 : un nécessaire dépassement du principe de la réparation intégrale et un régime perfectible », </w:t>
      </w:r>
      <w:r w:rsidR="00553F6D">
        <w:rPr>
          <w:sz w:val="22"/>
          <w:szCs w:val="22"/>
        </w:rPr>
        <w:t xml:space="preserve">Les Petites affiches 6 décembre 2018, p. 8. </w:t>
      </w:r>
      <w:r w:rsidR="007B6F25">
        <w:rPr>
          <w:sz w:val="22"/>
          <w:szCs w:val="22"/>
        </w:rPr>
        <w:t xml:space="preserve"> </w:t>
      </w:r>
    </w:p>
    <w:p w14:paraId="06ADC69C" w14:textId="77777777" w:rsidR="008850F2" w:rsidRDefault="008850F2" w:rsidP="00F77378">
      <w:pPr>
        <w:ind w:left="1410" w:hanging="1410"/>
        <w:jc w:val="both"/>
        <w:rPr>
          <w:sz w:val="22"/>
          <w:szCs w:val="22"/>
        </w:rPr>
      </w:pPr>
    </w:p>
    <w:p w14:paraId="179A3636" w14:textId="31AAF60B" w:rsidR="00F77378" w:rsidRDefault="00F77378" w:rsidP="008850F2">
      <w:pPr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 La malléabilité confirmée de la force majeure par l’exonération de la SNCF pour fait du tiers ». Commentaire de Civ. 2° 8 février 2018 (n° 17-10.516), </w:t>
      </w:r>
      <w:r w:rsidR="00692BC6">
        <w:rPr>
          <w:sz w:val="22"/>
          <w:szCs w:val="22"/>
        </w:rPr>
        <w:t>Revue Lamy Droit civil juin 201</w:t>
      </w:r>
      <w:r w:rsidR="00F654F4">
        <w:rPr>
          <w:sz w:val="22"/>
          <w:szCs w:val="22"/>
        </w:rPr>
        <w:t>8</w:t>
      </w:r>
      <w:r w:rsidR="00692BC6">
        <w:rPr>
          <w:sz w:val="22"/>
          <w:szCs w:val="22"/>
        </w:rPr>
        <w:t xml:space="preserve">, n° 6450. </w:t>
      </w:r>
    </w:p>
    <w:p w14:paraId="368CAE8B" w14:textId="4E10D8F2" w:rsidR="00F77378" w:rsidRDefault="00F77378" w:rsidP="00F77378">
      <w:pPr>
        <w:ind w:left="1410" w:hanging="1410"/>
        <w:jc w:val="both"/>
        <w:rPr>
          <w:sz w:val="22"/>
          <w:szCs w:val="22"/>
        </w:rPr>
      </w:pPr>
    </w:p>
    <w:p w14:paraId="775F9C92" w14:textId="13819DC6" w:rsidR="00F77378" w:rsidRDefault="00F77378" w:rsidP="00F77378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« La charge de la preuve de l’absence de convocation du débiteur à la vérification des créances pèse sur le mandataire ». Commentaire de Com. 28 mars 2018 (n° 17-10.600), Lettre d’actualité des procédures collectives 2018, repère 119. </w:t>
      </w:r>
    </w:p>
    <w:p w14:paraId="6E8E7943" w14:textId="77777777" w:rsidR="00F77378" w:rsidRPr="00FF15BF" w:rsidRDefault="00F77378" w:rsidP="00F77378">
      <w:pPr>
        <w:ind w:left="1410" w:hanging="1410"/>
        <w:jc w:val="both"/>
        <w:rPr>
          <w:sz w:val="22"/>
          <w:szCs w:val="22"/>
        </w:rPr>
      </w:pPr>
    </w:p>
    <w:p w14:paraId="14034B73" w14:textId="596C7F52" w:rsidR="00E527B4" w:rsidRPr="00E527B4" w:rsidRDefault="008E375E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>2017</w:t>
      </w:r>
      <w:r>
        <w:rPr>
          <w:i/>
          <w:sz w:val="22"/>
          <w:szCs w:val="22"/>
        </w:rPr>
        <w:tab/>
      </w:r>
      <w:r w:rsidR="00E527B4">
        <w:rPr>
          <w:sz w:val="22"/>
          <w:szCs w:val="22"/>
        </w:rPr>
        <w:t xml:space="preserve">« L’anachronisme de l’obligation de sécurité de moyens en matière de dommage corporel, où le risque d’absence d’indemnisation ». Commentaire de Civ. 1° 25 janvier 2017 (n° 16-11.953), </w:t>
      </w:r>
      <w:r w:rsidR="00AA3C00">
        <w:rPr>
          <w:sz w:val="22"/>
          <w:szCs w:val="22"/>
        </w:rPr>
        <w:t>Les Petites</w:t>
      </w:r>
      <w:r w:rsidR="00A86B3E">
        <w:rPr>
          <w:sz w:val="22"/>
          <w:szCs w:val="22"/>
        </w:rPr>
        <w:t xml:space="preserve"> affiches 28 novembre 2017, p. 15</w:t>
      </w:r>
      <w:r w:rsidR="00AA3C00">
        <w:rPr>
          <w:sz w:val="22"/>
          <w:szCs w:val="22"/>
        </w:rPr>
        <w:t xml:space="preserve">. </w:t>
      </w:r>
      <w:r w:rsidR="00E527B4">
        <w:rPr>
          <w:sz w:val="22"/>
          <w:szCs w:val="22"/>
        </w:rPr>
        <w:t xml:space="preserve"> </w:t>
      </w:r>
    </w:p>
    <w:p w14:paraId="04844432" w14:textId="77777777" w:rsidR="00E527B4" w:rsidRDefault="00E527B4" w:rsidP="008D667B">
      <w:pPr>
        <w:ind w:left="1410" w:hanging="1410"/>
        <w:jc w:val="both"/>
        <w:rPr>
          <w:i/>
          <w:sz w:val="22"/>
          <w:szCs w:val="22"/>
        </w:rPr>
      </w:pPr>
    </w:p>
    <w:p w14:paraId="453041BD" w14:textId="6138D800" w:rsidR="00B21A60" w:rsidRPr="00B21A60" w:rsidRDefault="00E527B4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B21A60">
        <w:rPr>
          <w:sz w:val="22"/>
          <w:szCs w:val="22"/>
        </w:rPr>
        <w:t xml:space="preserve">« Vices du consentement et cession de gré à gré des actifs en liquidation judiciaire », obs. sous Com. 4 mai 2017 (n° 15-27.899), </w:t>
      </w:r>
      <w:r w:rsidR="006C33CB">
        <w:rPr>
          <w:sz w:val="22"/>
          <w:szCs w:val="22"/>
        </w:rPr>
        <w:t xml:space="preserve">JCP édition générale 2017, n° 21, </w:t>
      </w:r>
      <w:proofErr w:type="spellStart"/>
      <w:r w:rsidR="006C33CB">
        <w:rPr>
          <w:sz w:val="22"/>
          <w:szCs w:val="22"/>
        </w:rPr>
        <w:t>act</w:t>
      </w:r>
      <w:proofErr w:type="spellEnd"/>
      <w:r w:rsidR="006C33CB">
        <w:rPr>
          <w:sz w:val="22"/>
          <w:szCs w:val="22"/>
        </w:rPr>
        <w:t xml:space="preserve">. 564. </w:t>
      </w:r>
      <w:r w:rsidR="00B21A60">
        <w:rPr>
          <w:sz w:val="22"/>
          <w:szCs w:val="22"/>
        </w:rPr>
        <w:t xml:space="preserve"> </w:t>
      </w:r>
    </w:p>
    <w:p w14:paraId="058E9B6B" w14:textId="77777777" w:rsidR="00B21A60" w:rsidRDefault="00B21A60" w:rsidP="008D667B">
      <w:pPr>
        <w:ind w:left="1410" w:hanging="1410"/>
        <w:jc w:val="both"/>
        <w:rPr>
          <w:i/>
          <w:sz w:val="22"/>
          <w:szCs w:val="22"/>
        </w:rPr>
      </w:pPr>
    </w:p>
    <w:p w14:paraId="650EAE32" w14:textId="4AED1D2E" w:rsidR="00C17CD2" w:rsidRPr="00C17CD2" w:rsidRDefault="00B21A60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17CD2">
        <w:rPr>
          <w:sz w:val="22"/>
          <w:szCs w:val="22"/>
        </w:rPr>
        <w:t>« Inopposabilité d’une clause d’indemnité de recouvrement à la sauvegarde », o</w:t>
      </w:r>
      <w:r w:rsidR="008E0BBF">
        <w:rPr>
          <w:sz w:val="22"/>
          <w:szCs w:val="22"/>
        </w:rPr>
        <w:t>bs. sous Com. 22 février 2017 (</w:t>
      </w:r>
      <w:r w:rsidR="00C17CD2">
        <w:rPr>
          <w:sz w:val="22"/>
          <w:szCs w:val="22"/>
        </w:rPr>
        <w:t xml:space="preserve">n° 15-15.942), JCP édition générale 2017, </w:t>
      </w:r>
      <w:r w:rsidR="008E0BBF">
        <w:rPr>
          <w:sz w:val="22"/>
          <w:szCs w:val="22"/>
        </w:rPr>
        <w:t xml:space="preserve">n° 11, </w:t>
      </w:r>
      <w:proofErr w:type="spellStart"/>
      <w:r w:rsidR="008E0BBF">
        <w:rPr>
          <w:sz w:val="22"/>
          <w:szCs w:val="22"/>
        </w:rPr>
        <w:t>act</w:t>
      </w:r>
      <w:proofErr w:type="spellEnd"/>
      <w:r w:rsidR="008E0BBF">
        <w:rPr>
          <w:sz w:val="22"/>
          <w:szCs w:val="22"/>
        </w:rPr>
        <w:t xml:space="preserve">. </w:t>
      </w:r>
      <w:r w:rsidR="0075571F">
        <w:rPr>
          <w:sz w:val="22"/>
          <w:szCs w:val="22"/>
        </w:rPr>
        <w:t xml:space="preserve">279. </w:t>
      </w:r>
    </w:p>
    <w:p w14:paraId="7B7A001F" w14:textId="77777777" w:rsidR="00C17CD2" w:rsidRDefault="00C17CD2" w:rsidP="008D667B">
      <w:pPr>
        <w:ind w:left="1410" w:hanging="1410"/>
        <w:jc w:val="both"/>
        <w:rPr>
          <w:i/>
          <w:sz w:val="22"/>
          <w:szCs w:val="22"/>
        </w:rPr>
      </w:pPr>
    </w:p>
    <w:p w14:paraId="22082AC3" w14:textId="12639FEC" w:rsidR="004726A5" w:rsidRPr="004726A5" w:rsidRDefault="00C17CD2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4726A5">
        <w:rPr>
          <w:sz w:val="22"/>
          <w:szCs w:val="22"/>
        </w:rPr>
        <w:t>« </w:t>
      </w:r>
      <w:r w:rsidR="004726A5" w:rsidRPr="004726A5">
        <w:rPr>
          <w:sz w:val="22"/>
          <w:szCs w:val="22"/>
        </w:rPr>
        <w:t>Quand le privilège de procédure rencontre les droits propres du débiteur : la confirmation d’une appréciation souple des créances nées pour les besoins de la procédure au sens de l’article L. 622-17 du Code de commerce, et les risques d’insécurité juridique qui en découlent</w:t>
      </w:r>
      <w:r w:rsidR="004726A5">
        <w:rPr>
          <w:sz w:val="22"/>
          <w:szCs w:val="22"/>
        </w:rPr>
        <w:t> ». Commentaire de Com. 1</w:t>
      </w:r>
      <w:r w:rsidR="004726A5" w:rsidRPr="004726A5">
        <w:rPr>
          <w:sz w:val="22"/>
          <w:szCs w:val="22"/>
          <w:vertAlign w:val="superscript"/>
        </w:rPr>
        <w:t>er</w:t>
      </w:r>
      <w:r w:rsidR="004726A5">
        <w:rPr>
          <w:sz w:val="22"/>
          <w:szCs w:val="22"/>
        </w:rPr>
        <w:t xml:space="preserve"> décembre 2015 (n° 14-20.688), Les Petites affiches 24 janvier 2017, p. 7. </w:t>
      </w:r>
    </w:p>
    <w:p w14:paraId="488A224E" w14:textId="77777777" w:rsidR="004726A5" w:rsidRDefault="004726A5" w:rsidP="008D667B">
      <w:pPr>
        <w:ind w:left="1410" w:hanging="1410"/>
        <w:jc w:val="both"/>
        <w:rPr>
          <w:i/>
          <w:sz w:val="22"/>
          <w:szCs w:val="22"/>
        </w:rPr>
      </w:pPr>
    </w:p>
    <w:p w14:paraId="67E41868" w14:textId="3869E541" w:rsidR="008E375E" w:rsidRPr="008E375E" w:rsidRDefault="004726A5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8E375E">
        <w:rPr>
          <w:sz w:val="22"/>
          <w:szCs w:val="22"/>
        </w:rPr>
        <w:t xml:space="preserve">« La déclaration notariée d’insaisissabilité irrégulière désormais inopposable à la procédure collective ! » Commentaire de Com. 15 novembre 2016 (n° 14-26.287), JCP édition générale 2017, </w:t>
      </w:r>
      <w:r>
        <w:rPr>
          <w:sz w:val="22"/>
          <w:szCs w:val="22"/>
        </w:rPr>
        <w:t xml:space="preserve">n° 1-2, note 21. </w:t>
      </w:r>
      <w:r w:rsidR="008E375E">
        <w:rPr>
          <w:sz w:val="22"/>
          <w:szCs w:val="22"/>
        </w:rPr>
        <w:t xml:space="preserve"> </w:t>
      </w:r>
    </w:p>
    <w:p w14:paraId="348936C2" w14:textId="77777777" w:rsidR="008E375E" w:rsidRDefault="008E375E" w:rsidP="008D667B">
      <w:pPr>
        <w:ind w:left="1410" w:hanging="1410"/>
        <w:jc w:val="both"/>
        <w:rPr>
          <w:i/>
          <w:sz w:val="22"/>
          <w:szCs w:val="22"/>
        </w:rPr>
      </w:pPr>
    </w:p>
    <w:p w14:paraId="1667E713" w14:textId="518CB173" w:rsidR="00493B6A" w:rsidRPr="00493B6A" w:rsidRDefault="008C0114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>2016</w:t>
      </w:r>
      <w:r>
        <w:rPr>
          <w:i/>
          <w:sz w:val="22"/>
          <w:szCs w:val="22"/>
        </w:rPr>
        <w:tab/>
      </w:r>
      <w:r w:rsidR="00493B6A">
        <w:rPr>
          <w:sz w:val="22"/>
          <w:szCs w:val="22"/>
        </w:rPr>
        <w:t xml:space="preserve">« Exonération de la SNCF : d’une confirmation de la sévérité concernant le cas de force majeure à une position paradoxale concernant la faute simple de la victime ». Commentaire de Civ. 2° 3 mars 2016 (n° 15-12.217), Revue Lamy Droit civil, juillet-août 2016, n° 6219. </w:t>
      </w:r>
    </w:p>
    <w:p w14:paraId="686B8A95" w14:textId="77777777" w:rsidR="00493B6A" w:rsidRDefault="00493B6A" w:rsidP="008D667B">
      <w:pPr>
        <w:ind w:left="1410" w:hanging="1410"/>
        <w:jc w:val="both"/>
        <w:rPr>
          <w:i/>
          <w:sz w:val="22"/>
          <w:szCs w:val="22"/>
        </w:rPr>
      </w:pPr>
    </w:p>
    <w:p w14:paraId="7601CD76" w14:textId="1D806385" w:rsidR="00053D49" w:rsidRPr="00053D49" w:rsidRDefault="00493B6A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053D49">
        <w:rPr>
          <w:sz w:val="22"/>
          <w:szCs w:val="22"/>
        </w:rPr>
        <w:t xml:space="preserve">« La poursuite du garant personne physique au sein du plan de sauvegarde : confirmation de sa soumission à l’inexécution du plan par l’entremise de la </w:t>
      </w:r>
      <w:r w:rsidR="00053D49">
        <w:rPr>
          <w:sz w:val="22"/>
          <w:szCs w:val="22"/>
        </w:rPr>
        <w:lastRenderedPageBreak/>
        <w:t>proportionnalité de l’engagement de caution ». Commentaire de Com. 1</w:t>
      </w:r>
      <w:r w:rsidR="00053D49" w:rsidRPr="00053D49">
        <w:rPr>
          <w:sz w:val="22"/>
          <w:szCs w:val="22"/>
          <w:vertAlign w:val="superscript"/>
        </w:rPr>
        <w:t>er</w:t>
      </w:r>
      <w:r w:rsidR="00053D49">
        <w:rPr>
          <w:sz w:val="22"/>
          <w:szCs w:val="22"/>
        </w:rPr>
        <w:t xml:space="preserve"> mars 2016 (n° 14-16.402), JCP édition entreprise et affaires, 2016, note 1242. </w:t>
      </w:r>
    </w:p>
    <w:p w14:paraId="70683E13" w14:textId="77777777" w:rsidR="00053D49" w:rsidRDefault="00053D49" w:rsidP="008D667B">
      <w:pPr>
        <w:ind w:left="1410" w:hanging="1410"/>
        <w:jc w:val="both"/>
        <w:rPr>
          <w:i/>
          <w:sz w:val="22"/>
          <w:szCs w:val="22"/>
        </w:rPr>
      </w:pPr>
    </w:p>
    <w:p w14:paraId="00EB1139" w14:textId="7E038168" w:rsidR="008C0114" w:rsidRPr="008C0114" w:rsidRDefault="00053D49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8C0114">
        <w:rPr>
          <w:sz w:val="22"/>
          <w:szCs w:val="22"/>
        </w:rPr>
        <w:t>« La clause contractuelle aménageant les modalités de poursuite à l’encontre du débiteur n’est pas une exception inhérente à la dette au sens de l’article 2313 du Code</w:t>
      </w:r>
      <w:r w:rsidR="001F2B55">
        <w:rPr>
          <w:sz w:val="22"/>
          <w:szCs w:val="22"/>
        </w:rPr>
        <w:t xml:space="preserve"> civil ». Commentaire de Com. 13</w:t>
      </w:r>
      <w:r w:rsidR="008C0114">
        <w:rPr>
          <w:sz w:val="22"/>
          <w:szCs w:val="22"/>
        </w:rPr>
        <w:t xml:space="preserve"> octobre 2015</w:t>
      </w:r>
      <w:r w:rsidR="00232ECC">
        <w:rPr>
          <w:sz w:val="22"/>
          <w:szCs w:val="22"/>
        </w:rPr>
        <w:t xml:space="preserve"> (n° 14-19.734)</w:t>
      </w:r>
      <w:r w:rsidR="008C0114">
        <w:rPr>
          <w:sz w:val="22"/>
          <w:szCs w:val="22"/>
        </w:rPr>
        <w:t xml:space="preserve">, Les Petites affiches 3 février 2016, p. 8. </w:t>
      </w:r>
    </w:p>
    <w:p w14:paraId="5500656A" w14:textId="77777777" w:rsidR="008C0114" w:rsidRDefault="008C0114" w:rsidP="008D667B">
      <w:pPr>
        <w:ind w:left="1410" w:hanging="1410"/>
        <w:jc w:val="both"/>
        <w:rPr>
          <w:i/>
          <w:sz w:val="22"/>
          <w:szCs w:val="22"/>
        </w:rPr>
      </w:pPr>
    </w:p>
    <w:p w14:paraId="7091FAD6" w14:textId="7F543F27" w:rsidR="0041386A" w:rsidRDefault="00D04A0A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>2015</w:t>
      </w:r>
      <w:r w:rsidR="0041386A">
        <w:rPr>
          <w:i/>
          <w:sz w:val="22"/>
          <w:szCs w:val="22"/>
        </w:rPr>
        <w:tab/>
      </w:r>
      <w:r w:rsidR="0041386A">
        <w:rPr>
          <w:sz w:val="22"/>
          <w:szCs w:val="22"/>
        </w:rPr>
        <w:t>« La délicate appréhension du champ d’application de l’article L. 622-21 du Code de commerce ». Commentaire de Com. 2 décembre 2014</w:t>
      </w:r>
      <w:r w:rsidR="00232ECC">
        <w:rPr>
          <w:sz w:val="22"/>
          <w:szCs w:val="22"/>
        </w:rPr>
        <w:t xml:space="preserve"> (n° 13-24.405)</w:t>
      </w:r>
      <w:r w:rsidR="0041386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Les Petites affiches 30 octobre 2015, p. 5. </w:t>
      </w:r>
    </w:p>
    <w:p w14:paraId="7BE95A16" w14:textId="77777777" w:rsidR="0041386A" w:rsidRPr="0041386A" w:rsidRDefault="0041386A" w:rsidP="008D667B">
      <w:pPr>
        <w:ind w:left="1410" w:hanging="1410"/>
        <w:jc w:val="both"/>
        <w:rPr>
          <w:sz w:val="22"/>
          <w:szCs w:val="22"/>
        </w:rPr>
      </w:pPr>
    </w:p>
    <w:p w14:paraId="40916594" w14:textId="29A690C3" w:rsidR="00437DCF" w:rsidRPr="00437DCF" w:rsidRDefault="008933F3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437DCF" w:rsidRPr="00437DCF">
        <w:rPr>
          <w:sz w:val="22"/>
          <w:szCs w:val="22"/>
        </w:rPr>
        <w:t>« Champ d’application et conséquences de la disproportion de l’engagement de caution : le sort</w:t>
      </w:r>
      <w:r w:rsidR="00437DCF">
        <w:rPr>
          <w:sz w:val="22"/>
          <w:szCs w:val="22"/>
        </w:rPr>
        <w:t xml:space="preserve"> p</w:t>
      </w:r>
      <w:r w:rsidR="0041386A">
        <w:rPr>
          <w:sz w:val="22"/>
          <w:szCs w:val="22"/>
        </w:rPr>
        <w:t xml:space="preserve">eu enviable du cofidéjusseur ». </w:t>
      </w:r>
      <w:r w:rsidR="00437DCF">
        <w:rPr>
          <w:sz w:val="22"/>
          <w:szCs w:val="22"/>
        </w:rPr>
        <w:t>Commentaire de Mixte 27 février 2015</w:t>
      </w:r>
      <w:r w:rsidR="00232ECC">
        <w:rPr>
          <w:sz w:val="22"/>
          <w:szCs w:val="22"/>
        </w:rPr>
        <w:t xml:space="preserve"> (n° 13-13.709)</w:t>
      </w:r>
      <w:r w:rsidR="003C0942">
        <w:rPr>
          <w:sz w:val="22"/>
          <w:szCs w:val="22"/>
        </w:rPr>
        <w:t xml:space="preserve">, Revue Lamy Droit Civil juin 2015, n° 5869. </w:t>
      </w:r>
      <w:r w:rsidR="00437DCF">
        <w:rPr>
          <w:sz w:val="22"/>
          <w:szCs w:val="22"/>
        </w:rPr>
        <w:t xml:space="preserve"> </w:t>
      </w:r>
    </w:p>
    <w:p w14:paraId="0D19F592" w14:textId="77777777" w:rsidR="00437DCF" w:rsidRDefault="00437DCF" w:rsidP="008D667B">
      <w:pPr>
        <w:ind w:left="1410" w:hanging="1410"/>
        <w:jc w:val="both"/>
        <w:rPr>
          <w:i/>
          <w:sz w:val="22"/>
          <w:szCs w:val="22"/>
        </w:rPr>
      </w:pPr>
    </w:p>
    <w:p w14:paraId="19DC7379" w14:textId="5900A3F0" w:rsidR="008933F3" w:rsidRDefault="00437DCF" w:rsidP="008D667B">
      <w:pPr>
        <w:ind w:left="1410" w:hanging="141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933F3">
        <w:rPr>
          <w:sz w:val="22"/>
          <w:szCs w:val="22"/>
        </w:rPr>
        <w:t>« Champ d’application du privilège de procédure : La Cour de cassation entretient le flou ». Commentaire de Com. 15 octobre 2013</w:t>
      </w:r>
      <w:r w:rsidR="00232ECC">
        <w:rPr>
          <w:sz w:val="22"/>
          <w:szCs w:val="22"/>
        </w:rPr>
        <w:t xml:space="preserve"> (n° 12-23.830)</w:t>
      </w:r>
      <w:r w:rsidR="008933F3">
        <w:rPr>
          <w:sz w:val="22"/>
          <w:szCs w:val="22"/>
        </w:rPr>
        <w:t xml:space="preserve">, </w:t>
      </w:r>
      <w:r w:rsidR="00B22DAB">
        <w:rPr>
          <w:sz w:val="22"/>
          <w:szCs w:val="22"/>
        </w:rPr>
        <w:t xml:space="preserve">Les Petites affiches 3 avril 2015, p. 10. </w:t>
      </w:r>
      <w:r>
        <w:rPr>
          <w:sz w:val="22"/>
          <w:szCs w:val="22"/>
        </w:rPr>
        <w:t xml:space="preserve"> </w:t>
      </w:r>
      <w:r w:rsidR="008933F3">
        <w:rPr>
          <w:sz w:val="22"/>
          <w:szCs w:val="22"/>
        </w:rPr>
        <w:t xml:space="preserve"> </w:t>
      </w:r>
    </w:p>
    <w:p w14:paraId="46ED9016" w14:textId="77777777" w:rsidR="008933F3" w:rsidRPr="008933F3" w:rsidRDefault="008933F3" w:rsidP="008D667B">
      <w:pPr>
        <w:ind w:left="1410" w:hanging="1410"/>
        <w:jc w:val="both"/>
        <w:rPr>
          <w:sz w:val="22"/>
          <w:szCs w:val="22"/>
        </w:rPr>
      </w:pPr>
    </w:p>
    <w:p w14:paraId="7E8066C5" w14:textId="011979A1" w:rsidR="00BF69B6" w:rsidRPr="00386136" w:rsidRDefault="00BF69B6" w:rsidP="008D667B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2014</w:t>
      </w:r>
      <w:r w:rsidR="00C17CD2">
        <w:rPr>
          <w:sz w:val="22"/>
          <w:szCs w:val="22"/>
        </w:rPr>
        <w:tab/>
      </w:r>
      <w:r w:rsidRPr="00386136">
        <w:rPr>
          <w:sz w:val="22"/>
          <w:szCs w:val="22"/>
        </w:rPr>
        <w:t>« Interprétation stricte de la notion d’accident dans la réparation du préjudice corporel subi par le passager d’un aéronef au sens de la Convention de Montréal », obs</w:t>
      </w:r>
      <w:r w:rsidR="00306023" w:rsidRPr="00386136">
        <w:rPr>
          <w:sz w:val="22"/>
          <w:szCs w:val="22"/>
        </w:rPr>
        <w:t>. de Civ. 1° 15 ja</w:t>
      </w:r>
      <w:r w:rsidR="00A930A7">
        <w:rPr>
          <w:sz w:val="22"/>
          <w:szCs w:val="22"/>
        </w:rPr>
        <w:t>nvier 2014</w:t>
      </w:r>
      <w:r w:rsidR="00232ECC">
        <w:rPr>
          <w:sz w:val="22"/>
          <w:szCs w:val="22"/>
        </w:rPr>
        <w:t xml:space="preserve"> (n° 11-21.394)</w:t>
      </w:r>
      <w:r w:rsidR="00A930A7">
        <w:rPr>
          <w:sz w:val="22"/>
          <w:szCs w:val="22"/>
        </w:rPr>
        <w:t>, JCP édition g</w:t>
      </w:r>
      <w:r w:rsidR="00306023" w:rsidRPr="00386136">
        <w:rPr>
          <w:sz w:val="22"/>
          <w:szCs w:val="22"/>
        </w:rPr>
        <w:t>énérale 2014,</w:t>
      </w:r>
      <w:r w:rsidR="00B50E48" w:rsidRPr="00386136">
        <w:rPr>
          <w:sz w:val="22"/>
          <w:szCs w:val="22"/>
        </w:rPr>
        <w:t xml:space="preserve"> n° 4,</w:t>
      </w:r>
      <w:r w:rsidR="00306023" w:rsidRPr="00386136">
        <w:rPr>
          <w:sz w:val="22"/>
          <w:szCs w:val="22"/>
        </w:rPr>
        <w:t xml:space="preserve"> </w:t>
      </w:r>
      <w:proofErr w:type="spellStart"/>
      <w:r w:rsidR="00306023" w:rsidRPr="00386136">
        <w:rPr>
          <w:sz w:val="22"/>
          <w:szCs w:val="22"/>
        </w:rPr>
        <w:t>act</w:t>
      </w:r>
      <w:proofErr w:type="spellEnd"/>
      <w:r w:rsidR="00306023" w:rsidRPr="00386136">
        <w:rPr>
          <w:sz w:val="22"/>
          <w:szCs w:val="22"/>
        </w:rPr>
        <w:t xml:space="preserve">. 90. </w:t>
      </w:r>
    </w:p>
    <w:p w14:paraId="1EF38071" w14:textId="77777777" w:rsidR="00BF69B6" w:rsidRPr="00386136" w:rsidRDefault="00BF69B6" w:rsidP="008D667B">
      <w:pPr>
        <w:ind w:left="1410" w:hanging="1410"/>
        <w:jc w:val="both"/>
        <w:rPr>
          <w:i/>
          <w:sz w:val="22"/>
          <w:szCs w:val="22"/>
        </w:rPr>
      </w:pPr>
    </w:p>
    <w:p w14:paraId="11D52CE1" w14:textId="05A32186" w:rsidR="003E465A" w:rsidRPr="00386136" w:rsidRDefault="00A3753C" w:rsidP="008D667B">
      <w:pPr>
        <w:ind w:left="1410" w:hanging="1410"/>
        <w:jc w:val="both"/>
        <w:rPr>
          <w:i/>
          <w:sz w:val="22"/>
          <w:szCs w:val="22"/>
        </w:rPr>
      </w:pPr>
      <w:r w:rsidRPr="00386136">
        <w:rPr>
          <w:i/>
          <w:sz w:val="22"/>
          <w:szCs w:val="22"/>
        </w:rPr>
        <w:t>2013</w:t>
      </w:r>
      <w:r w:rsidR="003E465A" w:rsidRPr="00386136">
        <w:rPr>
          <w:i/>
          <w:sz w:val="22"/>
          <w:szCs w:val="22"/>
        </w:rPr>
        <w:tab/>
      </w:r>
      <w:r w:rsidR="003E465A" w:rsidRPr="00386136">
        <w:rPr>
          <w:sz w:val="22"/>
          <w:szCs w:val="22"/>
        </w:rPr>
        <w:t xml:space="preserve">« Appréhension du risque et évolution du droit : l’exemple de la responsabilité civile », </w:t>
      </w:r>
      <w:r w:rsidR="003E465A" w:rsidRPr="00475E3C">
        <w:rPr>
          <w:sz w:val="22"/>
          <w:szCs w:val="22"/>
        </w:rPr>
        <w:t>in</w:t>
      </w:r>
      <w:r w:rsidR="00475E3C">
        <w:rPr>
          <w:i/>
          <w:sz w:val="22"/>
          <w:szCs w:val="22"/>
        </w:rPr>
        <w:t xml:space="preserve"> </w:t>
      </w:r>
      <w:r w:rsidR="00475E3C" w:rsidRPr="00475E3C">
        <w:rPr>
          <w:i/>
          <w:sz w:val="22"/>
          <w:szCs w:val="22"/>
        </w:rPr>
        <w:t>Les antennes-relais</w:t>
      </w:r>
      <w:r w:rsidR="003E465A" w:rsidRPr="00386136">
        <w:rPr>
          <w:sz w:val="22"/>
          <w:szCs w:val="22"/>
        </w:rPr>
        <w:t xml:space="preserve">, colloque FLD Paris 2011, coll. « Droit, société et risque », </w:t>
      </w:r>
      <w:proofErr w:type="spellStart"/>
      <w:r w:rsidR="003E465A" w:rsidRPr="00386136">
        <w:rPr>
          <w:sz w:val="22"/>
          <w:szCs w:val="22"/>
        </w:rPr>
        <w:t>L’Harmattan</w:t>
      </w:r>
      <w:proofErr w:type="spellEnd"/>
      <w:r w:rsidR="003E465A" w:rsidRPr="00386136">
        <w:rPr>
          <w:sz w:val="22"/>
          <w:szCs w:val="22"/>
        </w:rPr>
        <w:t xml:space="preserve">, 2013, p. 111. </w:t>
      </w:r>
      <w:r w:rsidRPr="00386136">
        <w:rPr>
          <w:i/>
          <w:sz w:val="22"/>
          <w:szCs w:val="22"/>
        </w:rPr>
        <w:tab/>
      </w:r>
    </w:p>
    <w:p w14:paraId="133CAB57" w14:textId="77777777" w:rsidR="003E465A" w:rsidRPr="00386136" w:rsidRDefault="003E465A" w:rsidP="008D667B">
      <w:pPr>
        <w:ind w:left="1410" w:hanging="1410"/>
        <w:jc w:val="both"/>
        <w:rPr>
          <w:i/>
          <w:sz w:val="22"/>
          <w:szCs w:val="22"/>
        </w:rPr>
      </w:pPr>
    </w:p>
    <w:p w14:paraId="5FDC8851" w14:textId="44124CA5" w:rsidR="008D667B" w:rsidRPr="00386136" w:rsidRDefault="003E465A" w:rsidP="008D667B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="008D667B" w:rsidRPr="00386136">
        <w:rPr>
          <w:sz w:val="22"/>
          <w:szCs w:val="22"/>
        </w:rPr>
        <w:t xml:space="preserve">« Absence de déclaration de créance et utilisation par la caution de l’article 2314 du Code civil : une admission des créances chirographaires au bénéfice de cette </w:t>
      </w:r>
      <w:r w:rsidR="008933F3">
        <w:rPr>
          <w:sz w:val="22"/>
          <w:szCs w:val="22"/>
        </w:rPr>
        <w:t>disposition en trompe-l’œil ». C</w:t>
      </w:r>
      <w:r w:rsidR="008D667B" w:rsidRPr="00386136">
        <w:rPr>
          <w:sz w:val="22"/>
          <w:szCs w:val="22"/>
        </w:rPr>
        <w:t>ommentaire de Com. 19 février 2013</w:t>
      </w:r>
      <w:r w:rsidR="00232ECC">
        <w:rPr>
          <w:sz w:val="22"/>
          <w:szCs w:val="22"/>
        </w:rPr>
        <w:t xml:space="preserve"> (n° 11-28.423)</w:t>
      </w:r>
      <w:r w:rsidR="008D667B" w:rsidRPr="00386136">
        <w:rPr>
          <w:sz w:val="22"/>
          <w:szCs w:val="22"/>
        </w:rPr>
        <w:t xml:space="preserve">, </w:t>
      </w:r>
      <w:r w:rsidR="00BF69B6" w:rsidRPr="00386136">
        <w:rPr>
          <w:sz w:val="22"/>
          <w:szCs w:val="22"/>
        </w:rPr>
        <w:t>Les Petites Affiche</w:t>
      </w:r>
      <w:r w:rsidR="00A930A7">
        <w:rPr>
          <w:sz w:val="22"/>
          <w:szCs w:val="22"/>
        </w:rPr>
        <w:t xml:space="preserve">s 4 décembre 2013, p. 5. </w:t>
      </w:r>
    </w:p>
    <w:p w14:paraId="38E269DD" w14:textId="77777777" w:rsidR="008D667B" w:rsidRPr="00386136" w:rsidRDefault="008D667B" w:rsidP="007B22BF">
      <w:pPr>
        <w:ind w:left="1410" w:hanging="1410"/>
        <w:jc w:val="both"/>
        <w:rPr>
          <w:i/>
          <w:sz w:val="22"/>
          <w:szCs w:val="22"/>
        </w:rPr>
      </w:pPr>
    </w:p>
    <w:p w14:paraId="046252D8" w14:textId="198D7486" w:rsidR="009F697F" w:rsidRPr="00386136" w:rsidRDefault="008D667B" w:rsidP="007B22BF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="009F697F" w:rsidRPr="00386136">
        <w:rPr>
          <w:sz w:val="22"/>
          <w:szCs w:val="22"/>
        </w:rPr>
        <w:t>« La responsabilité du fait d’autrui et le contrat, ou la persistance de l’incertitude autour du champ d’application de l’article 1384 al. 1</w:t>
      </w:r>
      <w:r w:rsidR="009F697F" w:rsidRPr="00386136">
        <w:rPr>
          <w:sz w:val="22"/>
          <w:szCs w:val="22"/>
          <w:vertAlign w:val="superscript"/>
        </w:rPr>
        <w:t>er</w:t>
      </w:r>
      <w:r w:rsidR="008933F3">
        <w:rPr>
          <w:sz w:val="22"/>
          <w:szCs w:val="22"/>
        </w:rPr>
        <w:t xml:space="preserve"> du Code civil ». C</w:t>
      </w:r>
      <w:r w:rsidR="009F697F" w:rsidRPr="00386136">
        <w:rPr>
          <w:sz w:val="22"/>
          <w:szCs w:val="22"/>
        </w:rPr>
        <w:t>ommentaire de Civ. 1° 15 décembre 2011</w:t>
      </w:r>
      <w:r w:rsidR="00232ECC">
        <w:rPr>
          <w:sz w:val="22"/>
          <w:szCs w:val="22"/>
        </w:rPr>
        <w:t xml:space="preserve"> (n° 10-25.740)</w:t>
      </w:r>
      <w:r w:rsidR="009F697F" w:rsidRPr="00386136">
        <w:rPr>
          <w:sz w:val="22"/>
          <w:szCs w:val="22"/>
        </w:rPr>
        <w:t xml:space="preserve">, Les Petites Affiches 17 janvier 2013, p. 8. </w:t>
      </w:r>
    </w:p>
    <w:p w14:paraId="32233890" w14:textId="77777777" w:rsidR="009F697F" w:rsidRPr="00386136" w:rsidRDefault="009F697F" w:rsidP="007B22BF">
      <w:pPr>
        <w:ind w:left="1410" w:hanging="1410"/>
        <w:jc w:val="both"/>
        <w:rPr>
          <w:i/>
          <w:sz w:val="22"/>
          <w:szCs w:val="22"/>
        </w:rPr>
      </w:pPr>
    </w:p>
    <w:p w14:paraId="06BB45ED" w14:textId="2D6C33EB" w:rsidR="00A3753C" w:rsidRPr="00386136" w:rsidRDefault="009F697F" w:rsidP="007B22BF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="00A3753C" w:rsidRPr="00386136">
        <w:rPr>
          <w:sz w:val="22"/>
          <w:szCs w:val="22"/>
        </w:rPr>
        <w:t xml:space="preserve">« Regards sur l’apparition du préjudice en droit des personnes protégées », in </w:t>
      </w:r>
      <w:r w:rsidR="00A3753C" w:rsidRPr="00386136">
        <w:rPr>
          <w:i/>
          <w:sz w:val="22"/>
          <w:szCs w:val="22"/>
        </w:rPr>
        <w:t xml:space="preserve">Mélanges en l’honneur de la Professeure Françoise </w:t>
      </w:r>
      <w:proofErr w:type="spellStart"/>
      <w:r w:rsidR="00A3753C" w:rsidRPr="00386136">
        <w:rPr>
          <w:i/>
          <w:sz w:val="22"/>
          <w:szCs w:val="22"/>
        </w:rPr>
        <w:t>Dekeuwer-Défossez</w:t>
      </w:r>
      <w:proofErr w:type="spellEnd"/>
      <w:r w:rsidR="00A3753C" w:rsidRPr="00386136">
        <w:rPr>
          <w:sz w:val="22"/>
          <w:szCs w:val="22"/>
        </w:rPr>
        <w:t xml:space="preserve">, </w:t>
      </w:r>
      <w:proofErr w:type="spellStart"/>
      <w:r w:rsidR="00A3753C" w:rsidRPr="00386136">
        <w:rPr>
          <w:sz w:val="22"/>
          <w:szCs w:val="22"/>
        </w:rPr>
        <w:t>Montcherstien</w:t>
      </w:r>
      <w:proofErr w:type="spellEnd"/>
      <w:r w:rsidR="00A3753C" w:rsidRPr="00386136">
        <w:rPr>
          <w:sz w:val="22"/>
          <w:szCs w:val="22"/>
        </w:rPr>
        <w:t xml:space="preserve">, 2013, p. 81. </w:t>
      </w:r>
    </w:p>
    <w:p w14:paraId="5976511D" w14:textId="77777777" w:rsidR="00A3753C" w:rsidRPr="00386136" w:rsidRDefault="00A3753C" w:rsidP="007B22BF">
      <w:pPr>
        <w:ind w:left="1410" w:hanging="1410"/>
        <w:jc w:val="both"/>
        <w:rPr>
          <w:i/>
          <w:sz w:val="22"/>
          <w:szCs w:val="22"/>
        </w:rPr>
      </w:pPr>
    </w:p>
    <w:p w14:paraId="3000D1AB" w14:textId="17C7963E" w:rsidR="00A323F0" w:rsidRPr="00386136" w:rsidRDefault="00E32903" w:rsidP="007B22BF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2012</w:t>
      </w:r>
      <w:r w:rsidRPr="00386136">
        <w:rPr>
          <w:i/>
          <w:sz w:val="22"/>
          <w:szCs w:val="22"/>
        </w:rPr>
        <w:tab/>
      </w:r>
      <w:r w:rsidR="00A323F0" w:rsidRPr="00386136">
        <w:rPr>
          <w:sz w:val="22"/>
          <w:szCs w:val="22"/>
        </w:rPr>
        <w:t>« L’ajout de précisions ne nuit pas à la mention manuscrite de l’article L. 341-2 du Code de la consommation ». Commentaire de Com. 16 octobre 2012</w:t>
      </w:r>
      <w:r w:rsidR="00232ECC">
        <w:rPr>
          <w:sz w:val="22"/>
          <w:szCs w:val="22"/>
        </w:rPr>
        <w:t xml:space="preserve"> (n° 11-23.623)</w:t>
      </w:r>
      <w:r w:rsidR="00A323F0" w:rsidRPr="00386136">
        <w:rPr>
          <w:sz w:val="22"/>
          <w:szCs w:val="22"/>
        </w:rPr>
        <w:t xml:space="preserve">, </w:t>
      </w:r>
      <w:r w:rsidR="004C5D52" w:rsidRPr="00386136">
        <w:rPr>
          <w:sz w:val="22"/>
          <w:szCs w:val="22"/>
        </w:rPr>
        <w:t xml:space="preserve">JCP édition générale 2012, n° 52, note 1405. </w:t>
      </w:r>
    </w:p>
    <w:p w14:paraId="64A3249C" w14:textId="77777777" w:rsidR="00A323F0" w:rsidRPr="00386136" w:rsidRDefault="00A323F0" w:rsidP="007B22BF">
      <w:pPr>
        <w:ind w:left="1410" w:hanging="1410"/>
        <w:jc w:val="both"/>
        <w:rPr>
          <w:i/>
          <w:sz w:val="22"/>
          <w:szCs w:val="22"/>
        </w:rPr>
      </w:pPr>
    </w:p>
    <w:p w14:paraId="60144D9A" w14:textId="1CC839CE" w:rsidR="00E32903" w:rsidRPr="00386136" w:rsidRDefault="00A323F0" w:rsidP="007B22BF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="00E32903" w:rsidRPr="00386136">
        <w:rPr>
          <w:sz w:val="22"/>
          <w:szCs w:val="22"/>
        </w:rPr>
        <w:t>« L’anormalité réaffirmée comme condition de la responsabilité du fait des choses ». Commentaire de Civ. 2° 29 mars 2012</w:t>
      </w:r>
      <w:r w:rsidR="00232ECC">
        <w:rPr>
          <w:sz w:val="22"/>
          <w:szCs w:val="22"/>
        </w:rPr>
        <w:t xml:space="preserve"> (n° 10-27.553)</w:t>
      </w:r>
      <w:r w:rsidR="00E32903" w:rsidRPr="00386136">
        <w:rPr>
          <w:sz w:val="22"/>
          <w:szCs w:val="22"/>
        </w:rPr>
        <w:t xml:space="preserve">, JCP édition générale 2012, n° 24, note 701. </w:t>
      </w:r>
    </w:p>
    <w:p w14:paraId="05F1FACB" w14:textId="77777777" w:rsidR="00E32903" w:rsidRPr="00386136" w:rsidRDefault="00E32903" w:rsidP="007B22BF">
      <w:pPr>
        <w:ind w:left="1410" w:hanging="1410"/>
        <w:jc w:val="both"/>
        <w:rPr>
          <w:i/>
          <w:sz w:val="22"/>
          <w:szCs w:val="22"/>
        </w:rPr>
      </w:pPr>
    </w:p>
    <w:p w14:paraId="07C36653" w14:textId="768262D5" w:rsidR="00722914" w:rsidRPr="00386136" w:rsidRDefault="00235CA8" w:rsidP="007B22BF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2011</w:t>
      </w:r>
      <w:r w:rsidRPr="00386136">
        <w:rPr>
          <w:i/>
          <w:sz w:val="22"/>
          <w:szCs w:val="22"/>
        </w:rPr>
        <w:tab/>
      </w:r>
      <w:r w:rsidR="00722914" w:rsidRPr="00386136">
        <w:rPr>
          <w:sz w:val="22"/>
          <w:szCs w:val="22"/>
        </w:rPr>
        <w:t>« Le refoulement de la théorie de l’acceptation des risques de la responsabilité du fait des choses : pas décisif vers une exclusion définitive de cette théorie ? » Commentaire de Civ. 2° 4 novembre 2010</w:t>
      </w:r>
      <w:r w:rsidR="00232ECC">
        <w:rPr>
          <w:sz w:val="22"/>
          <w:szCs w:val="22"/>
        </w:rPr>
        <w:t xml:space="preserve"> (n° 09-65.947)</w:t>
      </w:r>
      <w:r w:rsidR="00722914" w:rsidRPr="00386136">
        <w:rPr>
          <w:sz w:val="22"/>
          <w:szCs w:val="22"/>
        </w:rPr>
        <w:t>, Les Petites Affiches</w:t>
      </w:r>
      <w:r w:rsidR="00AC6FAC" w:rsidRPr="00386136">
        <w:rPr>
          <w:sz w:val="22"/>
          <w:szCs w:val="22"/>
        </w:rPr>
        <w:t xml:space="preserve"> 9 novembre 2011, p. 6. </w:t>
      </w:r>
    </w:p>
    <w:p w14:paraId="22F561E1" w14:textId="77777777" w:rsidR="00722914" w:rsidRPr="00386136" w:rsidRDefault="00722914" w:rsidP="007B22BF">
      <w:pPr>
        <w:ind w:left="1410" w:hanging="1410"/>
        <w:jc w:val="both"/>
        <w:rPr>
          <w:i/>
          <w:sz w:val="22"/>
          <w:szCs w:val="22"/>
        </w:rPr>
      </w:pPr>
    </w:p>
    <w:p w14:paraId="45DCC0F5" w14:textId="71F6E67F" w:rsidR="00672834" w:rsidRPr="00386136" w:rsidRDefault="00722914" w:rsidP="007B22BF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="00672834" w:rsidRPr="00386136">
        <w:rPr>
          <w:i/>
          <w:sz w:val="22"/>
          <w:szCs w:val="22"/>
        </w:rPr>
        <w:t>La faute de la victime en droit de la responsabilité civile</w:t>
      </w:r>
      <w:r w:rsidR="00672834" w:rsidRPr="00386136">
        <w:rPr>
          <w:sz w:val="22"/>
          <w:szCs w:val="22"/>
        </w:rPr>
        <w:t>, thèse de doctorat, coll. « D</w:t>
      </w:r>
      <w:r w:rsidR="003E465A" w:rsidRPr="00386136">
        <w:rPr>
          <w:sz w:val="22"/>
          <w:szCs w:val="22"/>
        </w:rPr>
        <w:t>roit, société et risque », aux é</w:t>
      </w:r>
      <w:r w:rsidR="00672834" w:rsidRPr="00386136">
        <w:rPr>
          <w:sz w:val="22"/>
          <w:szCs w:val="22"/>
        </w:rPr>
        <w:t>dition</w:t>
      </w:r>
      <w:r w:rsidR="00EF4CCA">
        <w:rPr>
          <w:sz w:val="22"/>
          <w:szCs w:val="22"/>
        </w:rPr>
        <w:t xml:space="preserve">s </w:t>
      </w:r>
      <w:proofErr w:type="spellStart"/>
      <w:r w:rsidR="00EF4CCA">
        <w:rPr>
          <w:sz w:val="22"/>
          <w:szCs w:val="22"/>
        </w:rPr>
        <w:t>L</w:t>
      </w:r>
      <w:r w:rsidR="00672834" w:rsidRPr="00386136">
        <w:rPr>
          <w:sz w:val="22"/>
          <w:szCs w:val="22"/>
        </w:rPr>
        <w:t>’Harmattan</w:t>
      </w:r>
      <w:proofErr w:type="spellEnd"/>
      <w:r w:rsidR="00672834" w:rsidRPr="00386136">
        <w:rPr>
          <w:sz w:val="22"/>
          <w:szCs w:val="22"/>
        </w:rPr>
        <w:t xml:space="preserve">. </w:t>
      </w:r>
    </w:p>
    <w:p w14:paraId="6DE02646" w14:textId="77777777" w:rsidR="00672834" w:rsidRPr="00386136" w:rsidRDefault="00672834" w:rsidP="007B22BF">
      <w:pPr>
        <w:ind w:left="1410" w:hanging="1410"/>
        <w:jc w:val="both"/>
        <w:rPr>
          <w:i/>
          <w:sz w:val="22"/>
          <w:szCs w:val="22"/>
        </w:rPr>
      </w:pPr>
    </w:p>
    <w:p w14:paraId="5DA3B5AB" w14:textId="53FF0485" w:rsidR="00235CA8" w:rsidRPr="00386136" w:rsidRDefault="007B22BF" w:rsidP="00672834">
      <w:pPr>
        <w:ind w:left="1410"/>
        <w:jc w:val="both"/>
        <w:rPr>
          <w:sz w:val="22"/>
          <w:szCs w:val="22"/>
        </w:rPr>
      </w:pPr>
      <w:r w:rsidRPr="00386136">
        <w:rPr>
          <w:sz w:val="22"/>
          <w:szCs w:val="22"/>
        </w:rPr>
        <w:t>« Lettre d’intention : « </w:t>
      </w:r>
      <w:r w:rsidR="00D133EB" w:rsidRPr="00386136">
        <w:rPr>
          <w:sz w:val="22"/>
          <w:szCs w:val="22"/>
        </w:rPr>
        <w:t>« </w:t>
      </w:r>
      <w:r w:rsidRPr="00386136">
        <w:rPr>
          <w:sz w:val="22"/>
          <w:szCs w:val="22"/>
        </w:rPr>
        <w:t>Faire en sorte » équivaut à une obligation de résultat ». Commentaire de Com. 17 mai 20</w:t>
      </w:r>
      <w:r w:rsidR="00B22DAB">
        <w:rPr>
          <w:sz w:val="22"/>
          <w:szCs w:val="22"/>
        </w:rPr>
        <w:t>11</w:t>
      </w:r>
      <w:r w:rsidR="00232ECC">
        <w:rPr>
          <w:sz w:val="22"/>
          <w:szCs w:val="22"/>
        </w:rPr>
        <w:t xml:space="preserve"> (n° 09-16</w:t>
      </w:r>
      <w:r w:rsidR="00E414E3">
        <w:rPr>
          <w:sz w:val="22"/>
          <w:szCs w:val="22"/>
        </w:rPr>
        <w:t>.186)</w:t>
      </w:r>
      <w:r w:rsidR="00B22DAB">
        <w:rPr>
          <w:sz w:val="22"/>
          <w:szCs w:val="22"/>
        </w:rPr>
        <w:t xml:space="preserve">, JCP édition générale 2011, </w:t>
      </w:r>
      <w:r w:rsidRPr="00386136">
        <w:rPr>
          <w:sz w:val="22"/>
          <w:szCs w:val="22"/>
        </w:rPr>
        <w:t xml:space="preserve">n° 29, note 863. </w:t>
      </w:r>
    </w:p>
    <w:p w14:paraId="6C7D3EB4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1BDB7A93" w14:textId="1DF1A8C3" w:rsidR="00235CA8" w:rsidRPr="00386136" w:rsidRDefault="00C17CD2" w:rsidP="00235CA8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35CA8" w:rsidRPr="00386136">
        <w:rPr>
          <w:sz w:val="22"/>
          <w:szCs w:val="22"/>
        </w:rPr>
        <w:t xml:space="preserve">« Cautionnement et Code de la consommation : d’une ambition protectrice à un éclatement progressif », Revue Lamy Droit Civil février 2011, n° 4127. </w:t>
      </w:r>
    </w:p>
    <w:p w14:paraId="4DFA248E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10593C8C" w14:textId="680EB8B9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2010</w:t>
      </w:r>
      <w:r w:rsidRPr="00386136">
        <w:rPr>
          <w:sz w:val="22"/>
          <w:szCs w:val="22"/>
        </w:rPr>
        <w:tab/>
      </w:r>
      <w:r w:rsidRPr="00386136">
        <w:rPr>
          <w:sz w:val="22"/>
          <w:szCs w:val="22"/>
        </w:rPr>
        <w:tab/>
        <w:t>« Assistance à personne en péril avortée mais gestion d’affaires affirmée ». Commentaire de Civ. 1° 28 janvier 2010</w:t>
      </w:r>
      <w:r w:rsidR="00E414E3">
        <w:rPr>
          <w:sz w:val="22"/>
          <w:szCs w:val="22"/>
        </w:rPr>
        <w:t xml:space="preserve"> (n° 08-16.844)</w:t>
      </w:r>
      <w:r w:rsidRPr="00386136">
        <w:rPr>
          <w:sz w:val="22"/>
          <w:szCs w:val="22"/>
        </w:rPr>
        <w:t xml:space="preserve">, JCP édition générale 2010, n° 19, note 352.  </w:t>
      </w:r>
    </w:p>
    <w:p w14:paraId="4A747BFC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71C54411" w14:textId="6A71BAD8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2009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« Qualification de conducteur et de faute de la victime conductrice au sein de la loi </w:t>
      </w:r>
      <w:r w:rsidRPr="00386136">
        <w:rPr>
          <w:i/>
          <w:sz w:val="22"/>
          <w:szCs w:val="22"/>
        </w:rPr>
        <w:t>Badinter</w:t>
      </w:r>
      <w:r w:rsidRPr="00386136">
        <w:rPr>
          <w:sz w:val="22"/>
          <w:szCs w:val="22"/>
        </w:rPr>
        <w:t> : une faille dans la logique indemnitaire ? » Commentaire de Civ. 2° 8 octobre 2009</w:t>
      </w:r>
      <w:r w:rsidR="00E414E3">
        <w:rPr>
          <w:sz w:val="22"/>
          <w:szCs w:val="22"/>
        </w:rPr>
        <w:t xml:space="preserve"> (n° 08-16.915)</w:t>
      </w:r>
      <w:r w:rsidRPr="00386136">
        <w:rPr>
          <w:sz w:val="22"/>
          <w:szCs w:val="22"/>
        </w:rPr>
        <w:t xml:space="preserve">, Gazette du Palais 9 et 10 décembre 2009, p. 11.  </w:t>
      </w:r>
    </w:p>
    <w:p w14:paraId="37D131FE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6F77B3D0" w14:textId="7DE8D60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>« Précisions sur les caractères de l’offre de contrat non assortie de délai : l’avènement d’un délai nécessairement inclus ». Commentaire de Civ. 3° 20 mai 2009</w:t>
      </w:r>
      <w:r w:rsidR="00E414E3">
        <w:rPr>
          <w:sz w:val="22"/>
          <w:szCs w:val="22"/>
        </w:rPr>
        <w:t xml:space="preserve"> (n° 08-13.230)</w:t>
      </w:r>
      <w:r w:rsidRPr="00386136">
        <w:rPr>
          <w:sz w:val="22"/>
          <w:szCs w:val="22"/>
        </w:rPr>
        <w:t xml:space="preserve">, Gazette du Palais 12 et 13 août 2009, p. 20.  </w:t>
      </w:r>
    </w:p>
    <w:p w14:paraId="5E3A2AE5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788C889A" w14:textId="7AB2D940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="00EF4CCA">
        <w:rPr>
          <w:sz w:val="22"/>
          <w:szCs w:val="22"/>
        </w:rPr>
        <w:t>« </w:t>
      </w:r>
      <w:r w:rsidRPr="00386136">
        <w:rPr>
          <w:sz w:val="22"/>
          <w:szCs w:val="22"/>
        </w:rPr>
        <w:t>La haute probabilité n’est pas la certitude : rappel des conditions d’indemnisation de la perte d’une chance ». Commentaire de Civ. 2° 9 avril 2009</w:t>
      </w:r>
      <w:r w:rsidR="00E414E3">
        <w:rPr>
          <w:sz w:val="22"/>
          <w:szCs w:val="22"/>
        </w:rPr>
        <w:t xml:space="preserve"> (n° 08-15.977)</w:t>
      </w:r>
      <w:r w:rsidRPr="00386136">
        <w:rPr>
          <w:sz w:val="22"/>
          <w:szCs w:val="22"/>
        </w:rPr>
        <w:t xml:space="preserve">, Les Petites Affiches 23 juillet 2009, p. 18. </w:t>
      </w:r>
    </w:p>
    <w:p w14:paraId="42616DFD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2EC54812" w14:textId="0F84FEB5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« Absence de causalité et force majeure : réflexions autour d’une dissonance », Revue de la recherche juridique, n° 2009-2, p. 629.  </w:t>
      </w:r>
    </w:p>
    <w:p w14:paraId="616AA71D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5399F5CD" w14:textId="31E3BD0A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sz w:val="22"/>
          <w:szCs w:val="22"/>
        </w:rPr>
        <w:tab/>
        <w:t>« La confirmation d’un contrôle accru de la Cour de cassation sur les clauses de mobilité ». Commentaire de Soc. 13 janvier 2009</w:t>
      </w:r>
      <w:r w:rsidR="00E414E3">
        <w:rPr>
          <w:sz w:val="22"/>
          <w:szCs w:val="22"/>
        </w:rPr>
        <w:t xml:space="preserve"> (n° 06-45.562)</w:t>
      </w:r>
      <w:r w:rsidRPr="00386136">
        <w:rPr>
          <w:sz w:val="22"/>
          <w:szCs w:val="22"/>
        </w:rPr>
        <w:t xml:space="preserve">, Revue de droit du travail Dalloz 2009, p. 300. </w:t>
      </w:r>
    </w:p>
    <w:p w14:paraId="54779363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0A5E159C" w14:textId="41D3C97D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« La sanction des actes passés par le mineur non émancipé », Gazette du Palais 7 et 8 janvier 2009, p. 4. </w:t>
      </w:r>
    </w:p>
    <w:p w14:paraId="566FB093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15D5EC5E" w14:textId="74E584F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2008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>« Responsabilité civile des organes de</w:t>
      </w:r>
      <w:r w:rsidR="003E465A" w:rsidRPr="00386136">
        <w:rPr>
          <w:sz w:val="22"/>
          <w:szCs w:val="22"/>
        </w:rPr>
        <w:t xml:space="preserve"> protection : la nouvelle donne », in</w:t>
      </w:r>
      <w:r w:rsidR="00475E3C">
        <w:rPr>
          <w:sz w:val="22"/>
          <w:szCs w:val="22"/>
        </w:rPr>
        <w:t xml:space="preserve"> </w:t>
      </w:r>
      <w:r w:rsidRPr="00475E3C">
        <w:rPr>
          <w:i/>
          <w:sz w:val="22"/>
          <w:szCs w:val="22"/>
        </w:rPr>
        <w:t>Le statut du majeur proté</w:t>
      </w:r>
      <w:r w:rsidR="00475E3C" w:rsidRPr="00475E3C">
        <w:rPr>
          <w:i/>
          <w:sz w:val="22"/>
          <w:szCs w:val="22"/>
        </w:rPr>
        <w:t>gé après la loi du 5 mars 2007</w:t>
      </w:r>
      <w:r w:rsidRPr="00386136">
        <w:rPr>
          <w:sz w:val="22"/>
          <w:szCs w:val="22"/>
        </w:rPr>
        <w:t xml:space="preserve">, </w:t>
      </w:r>
      <w:r w:rsidR="003E465A" w:rsidRPr="00386136">
        <w:rPr>
          <w:sz w:val="22"/>
          <w:szCs w:val="22"/>
        </w:rPr>
        <w:t xml:space="preserve">colloque Caen 2008, </w:t>
      </w:r>
      <w:r w:rsidRPr="00386136">
        <w:rPr>
          <w:sz w:val="22"/>
          <w:szCs w:val="22"/>
        </w:rPr>
        <w:t xml:space="preserve">RDSS 2008, p. 844. </w:t>
      </w:r>
    </w:p>
    <w:p w14:paraId="4AD99A61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190458FA" w14:textId="24FC1B0D" w:rsidR="00235CA8" w:rsidRPr="00386136" w:rsidRDefault="00C17CD2" w:rsidP="00235CA8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35CA8" w:rsidRPr="00386136">
        <w:rPr>
          <w:sz w:val="22"/>
          <w:szCs w:val="22"/>
        </w:rPr>
        <w:t>« Responsabilité médicale, faute du patient et aggravation du dommage ». Commentaire de Civ. 1° 17 jan</w:t>
      </w:r>
      <w:r w:rsidR="008933F3">
        <w:rPr>
          <w:sz w:val="22"/>
          <w:szCs w:val="22"/>
        </w:rPr>
        <w:t>vier 2008</w:t>
      </w:r>
      <w:r w:rsidR="00E414E3">
        <w:rPr>
          <w:sz w:val="22"/>
          <w:szCs w:val="22"/>
        </w:rPr>
        <w:t xml:space="preserve"> (n° 06-20.107)</w:t>
      </w:r>
      <w:r w:rsidR="008933F3">
        <w:rPr>
          <w:sz w:val="22"/>
          <w:szCs w:val="22"/>
        </w:rPr>
        <w:t>, Recueil Dalloz 2008,</w:t>
      </w:r>
      <w:r w:rsidR="00235CA8" w:rsidRPr="00386136">
        <w:rPr>
          <w:sz w:val="22"/>
          <w:szCs w:val="22"/>
        </w:rPr>
        <w:t xml:space="preserve"> p. 1256. </w:t>
      </w:r>
    </w:p>
    <w:p w14:paraId="56D62B36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71449FE4" w14:textId="5AF4E3EF" w:rsidR="00235CA8" w:rsidRPr="00386136" w:rsidRDefault="00C17CD2" w:rsidP="00235CA8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35CA8" w:rsidRPr="00386136">
        <w:rPr>
          <w:sz w:val="22"/>
          <w:szCs w:val="22"/>
        </w:rPr>
        <w:t>Con</w:t>
      </w:r>
      <w:r w:rsidR="00C471C8" w:rsidRPr="00386136">
        <w:rPr>
          <w:sz w:val="22"/>
          <w:szCs w:val="22"/>
        </w:rPr>
        <w:t xml:space="preserve">tribution à l’ouvrage </w:t>
      </w:r>
      <w:r w:rsidR="003E465A" w:rsidRPr="00386136">
        <w:rPr>
          <w:sz w:val="22"/>
          <w:szCs w:val="22"/>
        </w:rPr>
        <w:t>« </w:t>
      </w:r>
      <w:r w:rsidR="00235CA8" w:rsidRPr="00386136">
        <w:rPr>
          <w:sz w:val="22"/>
          <w:szCs w:val="22"/>
        </w:rPr>
        <w:t xml:space="preserve">Annales de droit civil </w:t>
      </w:r>
      <w:r w:rsidR="00C471C8" w:rsidRPr="00386136">
        <w:rPr>
          <w:sz w:val="22"/>
          <w:szCs w:val="22"/>
        </w:rPr>
        <w:t>des obligations 2009</w:t>
      </w:r>
      <w:r w:rsidR="003E465A" w:rsidRPr="00386136">
        <w:rPr>
          <w:sz w:val="22"/>
          <w:szCs w:val="22"/>
        </w:rPr>
        <w:t> »</w:t>
      </w:r>
      <w:r w:rsidR="00235CA8" w:rsidRPr="00386136">
        <w:rPr>
          <w:sz w:val="22"/>
          <w:szCs w:val="22"/>
        </w:rPr>
        <w:t xml:space="preserve">. Réalisation de la correction de l’examen de droit des obligations de janvier 2008 de la Faculté de droit de Caen. Dalloz, 2008, p. 77. </w:t>
      </w:r>
    </w:p>
    <w:p w14:paraId="70B6CF88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30448F37" w14:textId="57E2DB6B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2002</w:t>
      </w:r>
      <w:r w:rsidR="00C17CD2">
        <w:rPr>
          <w:sz w:val="22"/>
          <w:szCs w:val="22"/>
        </w:rPr>
        <w:tab/>
      </w:r>
      <w:r w:rsidRPr="00386136">
        <w:rPr>
          <w:sz w:val="22"/>
          <w:szCs w:val="22"/>
        </w:rPr>
        <w:t>« L’avenir</w:t>
      </w:r>
      <w:r w:rsidR="003E465A" w:rsidRPr="00386136">
        <w:rPr>
          <w:sz w:val="22"/>
          <w:szCs w:val="22"/>
        </w:rPr>
        <w:t xml:space="preserve"> de l</w:t>
      </w:r>
      <w:r w:rsidR="008933F3">
        <w:rPr>
          <w:sz w:val="22"/>
          <w:szCs w:val="22"/>
        </w:rPr>
        <w:t xml:space="preserve">a liberté contractuelle », in </w:t>
      </w:r>
      <w:r w:rsidR="003E465A" w:rsidRPr="008933F3">
        <w:rPr>
          <w:i/>
          <w:sz w:val="22"/>
          <w:szCs w:val="22"/>
        </w:rPr>
        <w:t>Q</w:t>
      </w:r>
      <w:r w:rsidRPr="008933F3">
        <w:rPr>
          <w:i/>
          <w:sz w:val="22"/>
          <w:szCs w:val="22"/>
        </w:rPr>
        <w:t>uel droit pour le XXI</w:t>
      </w:r>
      <w:r w:rsidRPr="008933F3">
        <w:rPr>
          <w:i/>
          <w:sz w:val="22"/>
          <w:szCs w:val="22"/>
          <w:vertAlign w:val="superscript"/>
        </w:rPr>
        <w:t>ème</w:t>
      </w:r>
      <w:r w:rsidR="008933F3" w:rsidRPr="008933F3">
        <w:rPr>
          <w:i/>
          <w:sz w:val="22"/>
          <w:szCs w:val="22"/>
        </w:rPr>
        <w:t xml:space="preserve"> </w:t>
      </w:r>
      <w:proofErr w:type="gramStart"/>
      <w:r w:rsidR="008933F3" w:rsidRPr="008933F3">
        <w:rPr>
          <w:i/>
          <w:sz w:val="22"/>
          <w:szCs w:val="22"/>
        </w:rPr>
        <w:t>siècle</w:t>
      </w:r>
      <w:r w:rsidR="00E414E3">
        <w:rPr>
          <w:i/>
          <w:sz w:val="22"/>
          <w:szCs w:val="22"/>
        </w:rPr>
        <w:t> ?</w:t>
      </w:r>
      <w:r w:rsidRPr="008933F3">
        <w:rPr>
          <w:sz w:val="22"/>
          <w:szCs w:val="22"/>
        </w:rPr>
        <w:t>,</w:t>
      </w:r>
      <w:proofErr w:type="gramEnd"/>
      <w:r w:rsidRPr="008933F3">
        <w:rPr>
          <w:sz w:val="22"/>
          <w:szCs w:val="22"/>
        </w:rPr>
        <w:t xml:space="preserve"> </w:t>
      </w:r>
      <w:r w:rsidR="003E465A" w:rsidRPr="00386136">
        <w:rPr>
          <w:sz w:val="22"/>
          <w:szCs w:val="22"/>
        </w:rPr>
        <w:t xml:space="preserve">colloque Aix-Marseille III (Aix-Marseille Université) 2002, </w:t>
      </w:r>
      <w:r w:rsidRPr="00386136">
        <w:rPr>
          <w:sz w:val="22"/>
          <w:szCs w:val="22"/>
        </w:rPr>
        <w:t xml:space="preserve">PUAM, 2002, p. 163.  </w:t>
      </w:r>
    </w:p>
    <w:p w14:paraId="5136FFBB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</w:p>
    <w:p w14:paraId="2901DDF1" w14:textId="77777777" w:rsidR="00235CA8" w:rsidRPr="00386136" w:rsidRDefault="00235CA8" w:rsidP="00235CA8">
      <w:pPr>
        <w:ind w:left="1410"/>
        <w:rPr>
          <w:sz w:val="22"/>
          <w:szCs w:val="22"/>
        </w:rPr>
      </w:pPr>
    </w:p>
    <w:p w14:paraId="47AC23B1" w14:textId="77777777" w:rsidR="00235CA8" w:rsidRPr="00386136" w:rsidRDefault="00235CA8" w:rsidP="00235CA8">
      <w:pPr>
        <w:rPr>
          <w:b/>
          <w:sz w:val="22"/>
          <w:szCs w:val="22"/>
        </w:rPr>
      </w:pPr>
      <w:r w:rsidRPr="00386136">
        <w:rPr>
          <w:sz w:val="22"/>
          <w:szCs w:val="22"/>
        </w:rPr>
        <w:tab/>
      </w:r>
      <w:r w:rsidRPr="00386136">
        <w:rPr>
          <w:b/>
          <w:sz w:val="22"/>
          <w:szCs w:val="22"/>
        </w:rPr>
        <w:t>Travaux universitaires</w:t>
      </w:r>
    </w:p>
    <w:p w14:paraId="31E21F88" w14:textId="77777777" w:rsidR="00235CA8" w:rsidRPr="00386136" w:rsidRDefault="00235CA8" w:rsidP="00235CA8">
      <w:pPr>
        <w:rPr>
          <w:b/>
          <w:sz w:val="22"/>
          <w:szCs w:val="22"/>
        </w:rPr>
      </w:pPr>
    </w:p>
    <w:p w14:paraId="4AE08344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2007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« La faute de la victime en droit de la responsabilité civile ». Thèse de doctorat dirigée par M. Bout, Professeur agrégé des facultés de droit. Jury composé de MM. Bout, </w:t>
      </w:r>
      <w:proofErr w:type="spellStart"/>
      <w:r w:rsidRPr="00386136">
        <w:rPr>
          <w:sz w:val="22"/>
          <w:szCs w:val="22"/>
        </w:rPr>
        <w:t>Bruschi</w:t>
      </w:r>
      <w:proofErr w:type="spellEnd"/>
      <w:r w:rsidRPr="00386136">
        <w:rPr>
          <w:sz w:val="22"/>
          <w:szCs w:val="22"/>
        </w:rPr>
        <w:t xml:space="preserve">, </w:t>
      </w:r>
      <w:proofErr w:type="spellStart"/>
      <w:r w:rsidRPr="00386136">
        <w:rPr>
          <w:sz w:val="22"/>
          <w:szCs w:val="22"/>
        </w:rPr>
        <w:t>Stoffel-Munck</w:t>
      </w:r>
      <w:proofErr w:type="spellEnd"/>
      <w:r w:rsidRPr="00386136">
        <w:rPr>
          <w:sz w:val="22"/>
          <w:szCs w:val="22"/>
        </w:rPr>
        <w:t xml:space="preserve"> (Président), et Brun, Professeurs agrégés des facultés de droit. </w:t>
      </w:r>
    </w:p>
    <w:p w14:paraId="22189FE5" w14:textId="77777777" w:rsidR="00235CA8" w:rsidRPr="00386136" w:rsidRDefault="00235CA8" w:rsidP="00235CA8">
      <w:pPr>
        <w:ind w:left="1410" w:hanging="1410"/>
        <w:jc w:val="both"/>
        <w:rPr>
          <w:i/>
          <w:sz w:val="22"/>
          <w:szCs w:val="22"/>
        </w:rPr>
      </w:pPr>
    </w:p>
    <w:p w14:paraId="25BAE604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2002</w:t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 « La responsabilité du fait des médicaments ». Mémoire réalisé lors du DEA de droit privé, sous la direction de M. Bout, Professeur agrégé des facultés de droit. </w:t>
      </w:r>
    </w:p>
    <w:p w14:paraId="0E16E86B" w14:textId="77777777" w:rsidR="00235CA8" w:rsidRPr="00386136" w:rsidRDefault="00235CA8" w:rsidP="00235CA8">
      <w:pPr>
        <w:ind w:left="708"/>
        <w:rPr>
          <w:b/>
          <w:sz w:val="22"/>
          <w:szCs w:val="22"/>
        </w:rPr>
      </w:pPr>
    </w:p>
    <w:p w14:paraId="1FDF16DB" w14:textId="77777777" w:rsidR="00235CA8" w:rsidRPr="00386136" w:rsidRDefault="00235CA8" w:rsidP="00235CA8">
      <w:pPr>
        <w:ind w:left="1410" w:hanging="1410"/>
        <w:jc w:val="both"/>
        <w:rPr>
          <w:sz w:val="22"/>
          <w:szCs w:val="22"/>
        </w:rPr>
      </w:pPr>
      <w:r w:rsidRPr="00386136">
        <w:rPr>
          <w:i/>
          <w:sz w:val="22"/>
          <w:szCs w:val="22"/>
        </w:rPr>
        <w:t>2001</w:t>
      </w:r>
      <w:r w:rsidRPr="00386136">
        <w:rPr>
          <w:i/>
          <w:sz w:val="22"/>
          <w:szCs w:val="22"/>
        </w:rPr>
        <w:tab/>
      </w:r>
      <w:r w:rsidRPr="00386136">
        <w:rPr>
          <w:i/>
          <w:sz w:val="22"/>
          <w:szCs w:val="22"/>
        </w:rPr>
        <w:tab/>
      </w:r>
      <w:r w:rsidRPr="00386136">
        <w:rPr>
          <w:sz w:val="22"/>
          <w:szCs w:val="22"/>
        </w:rPr>
        <w:t xml:space="preserve"> « La responsabilité civile du médecin ». Mémoire réalisé lors de la maîtrise de droit privé, sous la direction de M. Martini, Maître de conférences. </w:t>
      </w:r>
    </w:p>
    <w:p w14:paraId="4C7C9C0F" w14:textId="77777777" w:rsidR="00235CA8" w:rsidRPr="00386136" w:rsidRDefault="00235CA8" w:rsidP="00235CA8">
      <w:pPr>
        <w:rPr>
          <w:sz w:val="22"/>
          <w:szCs w:val="22"/>
        </w:rPr>
      </w:pPr>
      <w:r w:rsidRPr="00386136">
        <w:rPr>
          <w:sz w:val="22"/>
          <w:szCs w:val="22"/>
        </w:rPr>
        <w:tab/>
      </w:r>
    </w:p>
    <w:p w14:paraId="637BD6BF" w14:textId="77777777" w:rsidR="00235CA8" w:rsidRPr="00386136" w:rsidRDefault="00235CA8" w:rsidP="00235CA8">
      <w:pPr>
        <w:ind w:left="708"/>
        <w:rPr>
          <w:sz w:val="22"/>
          <w:szCs w:val="22"/>
        </w:rPr>
      </w:pPr>
    </w:p>
    <w:sectPr w:rsidR="00235CA8" w:rsidRPr="00386136" w:rsidSect="00235CA8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B8F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822D6"/>
    <w:multiLevelType w:val="hybridMultilevel"/>
    <w:tmpl w:val="956244A2"/>
    <w:lvl w:ilvl="0" w:tplc="8C82D922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7E6F74"/>
    <w:multiLevelType w:val="multilevel"/>
    <w:tmpl w:val="01EAAE3A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1">
      <w:start w:val="200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7F"/>
    <w:rsid w:val="0005145A"/>
    <w:rsid w:val="0005254D"/>
    <w:rsid w:val="00053D49"/>
    <w:rsid w:val="0008629B"/>
    <w:rsid w:val="000C674E"/>
    <w:rsid w:val="000D1F75"/>
    <w:rsid w:val="000F1D68"/>
    <w:rsid w:val="001202A1"/>
    <w:rsid w:val="001303B3"/>
    <w:rsid w:val="001D39E0"/>
    <w:rsid w:val="001F2006"/>
    <w:rsid w:val="001F2B55"/>
    <w:rsid w:val="00232ECC"/>
    <w:rsid w:val="00235CA8"/>
    <w:rsid w:val="002D4970"/>
    <w:rsid w:val="00306023"/>
    <w:rsid w:val="00386136"/>
    <w:rsid w:val="003C0942"/>
    <w:rsid w:val="003E465A"/>
    <w:rsid w:val="003F1E61"/>
    <w:rsid w:val="003F76E3"/>
    <w:rsid w:val="00405C31"/>
    <w:rsid w:val="0041386A"/>
    <w:rsid w:val="00414980"/>
    <w:rsid w:val="004370A8"/>
    <w:rsid w:val="00437DCF"/>
    <w:rsid w:val="004726A5"/>
    <w:rsid w:val="00475283"/>
    <w:rsid w:val="00475E3C"/>
    <w:rsid w:val="00493B6A"/>
    <w:rsid w:val="004A26A1"/>
    <w:rsid w:val="004C5D52"/>
    <w:rsid w:val="00516D7A"/>
    <w:rsid w:val="00524D27"/>
    <w:rsid w:val="00553F6D"/>
    <w:rsid w:val="00571308"/>
    <w:rsid w:val="005F4252"/>
    <w:rsid w:val="005F7CA1"/>
    <w:rsid w:val="006073FB"/>
    <w:rsid w:val="00672834"/>
    <w:rsid w:val="00692BC6"/>
    <w:rsid w:val="006C33CB"/>
    <w:rsid w:val="00722914"/>
    <w:rsid w:val="00742558"/>
    <w:rsid w:val="0075571F"/>
    <w:rsid w:val="00770DE2"/>
    <w:rsid w:val="0079001D"/>
    <w:rsid w:val="007B22BF"/>
    <w:rsid w:val="007B6F25"/>
    <w:rsid w:val="00807ED2"/>
    <w:rsid w:val="0085692B"/>
    <w:rsid w:val="008850F2"/>
    <w:rsid w:val="008933F3"/>
    <w:rsid w:val="008C0114"/>
    <w:rsid w:val="008D667B"/>
    <w:rsid w:val="008E0BBF"/>
    <w:rsid w:val="008E375E"/>
    <w:rsid w:val="00982DCB"/>
    <w:rsid w:val="009E0A22"/>
    <w:rsid w:val="009E3BE5"/>
    <w:rsid w:val="009F697F"/>
    <w:rsid w:val="00A323F0"/>
    <w:rsid w:val="00A3753C"/>
    <w:rsid w:val="00A86B3E"/>
    <w:rsid w:val="00A930A7"/>
    <w:rsid w:val="00AA3C00"/>
    <w:rsid w:val="00AC6FAC"/>
    <w:rsid w:val="00AD76E7"/>
    <w:rsid w:val="00B21A60"/>
    <w:rsid w:val="00B22DAB"/>
    <w:rsid w:val="00B239F4"/>
    <w:rsid w:val="00B2611A"/>
    <w:rsid w:val="00B40F8B"/>
    <w:rsid w:val="00B50E48"/>
    <w:rsid w:val="00BF69B6"/>
    <w:rsid w:val="00C04C15"/>
    <w:rsid w:val="00C13839"/>
    <w:rsid w:val="00C17CD2"/>
    <w:rsid w:val="00C42F49"/>
    <w:rsid w:val="00C471C8"/>
    <w:rsid w:val="00D04A0A"/>
    <w:rsid w:val="00D133EB"/>
    <w:rsid w:val="00D15B13"/>
    <w:rsid w:val="00D45594"/>
    <w:rsid w:val="00D5476C"/>
    <w:rsid w:val="00E32903"/>
    <w:rsid w:val="00E414E3"/>
    <w:rsid w:val="00E527B4"/>
    <w:rsid w:val="00EF4CCA"/>
    <w:rsid w:val="00F654F4"/>
    <w:rsid w:val="00F77378"/>
    <w:rsid w:val="00FA0C42"/>
    <w:rsid w:val="00FE427F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2B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6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5254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E427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373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373D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05254D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exandre.dumery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Links>
    <vt:vector size="12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mailto:alexandre.dumery@hotmail.fr</vt:lpwstr>
      </vt:variant>
      <vt:variant>
        <vt:lpwstr/>
      </vt:variant>
      <vt:variant>
        <vt:i4>1572964</vt:i4>
      </vt:variant>
      <vt:variant>
        <vt:i4>2245</vt:i4>
      </vt:variant>
      <vt:variant>
        <vt:i4>1025</vt:i4>
      </vt:variant>
      <vt:variant>
        <vt:i4>1</vt:i4>
      </vt:variant>
      <vt:variant>
        <vt:lpwstr>photoAlex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Dumery</dc:creator>
  <cp:keywords/>
  <cp:lastModifiedBy>Ludivine Delplechin</cp:lastModifiedBy>
  <cp:revision>2</cp:revision>
  <cp:lastPrinted>2007-10-31T14:24:00Z</cp:lastPrinted>
  <dcterms:created xsi:type="dcterms:W3CDTF">2019-09-09T14:22:00Z</dcterms:created>
  <dcterms:modified xsi:type="dcterms:W3CDTF">2019-09-09T14:22:00Z</dcterms:modified>
</cp:coreProperties>
</file>